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AD15B9">
      <w:pPr>
        <w:ind w:firstLine="1506" w:firstLineChars="500"/>
        <w:rPr>
          <w:rFonts w:hint="eastAsia" w:ascii="仿宋" w:hAnsi="仿宋" w:eastAsia="仿宋" w:cs="仿宋"/>
          <w:b/>
          <w:bCs/>
          <w:color w:val="FF0000"/>
          <w:sz w:val="30"/>
          <w:szCs w:val="30"/>
        </w:rPr>
      </w:pPr>
      <w:r>
        <w:rPr>
          <w:rFonts w:hint="eastAsia" w:ascii="仿宋" w:hAnsi="仿宋" w:eastAsia="仿宋" w:cs="仿宋"/>
          <w:b/>
          <w:bCs/>
          <w:color w:val="FF0000"/>
          <w:sz w:val="30"/>
          <w:szCs w:val="30"/>
        </w:rPr>
        <w:t>《法治观察》特约评论员招募公告</w:t>
      </w:r>
    </w:p>
    <w:p w14:paraId="2F57CF83">
      <w:pPr>
        <w:rPr>
          <w:rFonts w:hint="eastAsia" w:ascii="仿宋" w:hAnsi="仿宋" w:eastAsia="仿宋" w:cs="仿宋"/>
        </w:rPr>
      </w:pPr>
    </w:p>
    <w:p w14:paraId="6E51538D">
      <w:pPr>
        <w:ind w:firstLine="420" w:firstLineChars="200"/>
        <w:rPr>
          <w:rFonts w:hint="eastAsia" w:ascii="仿宋" w:hAnsi="仿宋" w:eastAsia="仿宋" w:cs="仿宋"/>
        </w:rPr>
      </w:pPr>
      <w:r>
        <w:rPr>
          <w:rFonts w:hint="eastAsia" w:ascii="仿宋" w:hAnsi="仿宋" w:eastAsia="仿宋" w:cs="仿宋"/>
        </w:rPr>
        <w:t>为深入贯彻党的二十大精神，全面落实</w:t>
      </w:r>
      <w:r>
        <w:rPr>
          <w:rFonts w:hint="eastAsia" w:ascii="仿宋" w:hAnsi="仿宋" w:eastAsia="仿宋" w:cs="仿宋"/>
          <w:lang w:val="en-US" w:eastAsia="zh-CN"/>
        </w:rPr>
        <w:t>2026权贵</w:t>
      </w:r>
      <w:r>
        <w:rPr>
          <w:rFonts w:hint="eastAsia" w:ascii="仿宋" w:hAnsi="仿宋" w:eastAsia="仿宋" w:cs="仿宋"/>
        </w:rPr>
        <w:t>两会关于全面推进依法治国工作的最新部署，快速提升全媒体普法工作的传播力、引导力、影响力及公信力，构建全覆盖、全方位的法治宣传矩阵，《法治观察》栏目组现面向全社会公开招募特约评论员。具体事项公告如下：</w:t>
      </w:r>
    </w:p>
    <w:p w14:paraId="4C219925">
      <w:pPr>
        <w:rPr>
          <w:rFonts w:hint="eastAsia" w:ascii="仿宋" w:hAnsi="仿宋" w:eastAsia="仿宋" w:cs="仿宋"/>
        </w:rPr>
      </w:pPr>
    </w:p>
    <w:p w14:paraId="12084184">
      <w:pPr>
        <w:rPr>
          <w:rFonts w:hint="eastAsia" w:ascii="仿宋" w:hAnsi="仿宋" w:eastAsia="仿宋" w:cs="仿宋"/>
          <w:b/>
          <w:bCs/>
        </w:rPr>
      </w:pPr>
      <w:r>
        <w:rPr>
          <w:rFonts w:hint="eastAsia" w:ascii="仿宋" w:hAnsi="仿宋" w:eastAsia="仿宋" w:cs="仿宋"/>
          <w:b/>
          <w:bCs/>
        </w:rPr>
        <w:t>一、招募对象与基本条件</w:t>
      </w:r>
    </w:p>
    <w:p w14:paraId="68D6CA7E">
      <w:pPr>
        <w:rPr>
          <w:rFonts w:hint="eastAsia" w:ascii="仿宋" w:hAnsi="仿宋" w:eastAsia="仿宋" w:cs="仿宋"/>
        </w:rPr>
      </w:pPr>
    </w:p>
    <w:p w14:paraId="3C4A42EE">
      <w:pPr>
        <w:rPr>
          <w:rFonts w:hint="eastAsia" w:ascii="仿宋" w:hAnsi="仿宋" w:eastAsia="仿宋" w:cs="仿宋"/>
        </w:rPr>
      </w:pPr>
      <w:r>
        <w:rPr>
          <w:rFonts w:hint="eastAsia" w:ascii="仿宋" w:hAnsi="仿宋" w:eastAsia="仿宋" w:cs="仿宋"/>
        </w:rPr>
        <w:t>我们诚挚邀请遵纪守法、热爱法治宣传事业、具备专业素养的人士加入。具体条件如下：</w:t>
      </w:r>
    </w:p>
    <w:p w14:paraId="5F241543">
      <w:pPr>
        <w:rPr>
          <w:rFonts w:hint="eastAsia" w:ascii="仿宋" w:hAnsi="仿宋" w:eastAsia="仿宋" w:cs="仿宋"/>
        </w:rPr>
      </w:pPr>
    </w:p>
    <w:p w14:paraId="4EBB5D64">
      <w:pPr>
        <w:rPr>
          <w:rFonts w:hint="eastAsia" w:ascii="仿宋" w:hAnsi="仿宋" w:eastAsia="仿宋" w:cs="仿宋"/>
        </w:rPr>
      </w:pPr>
      <w:r>
        <w:rPr>
          <w:rFonts w:hint="eastAsia" w:ascii="仿宋" w:hAnsi="仿宋" w:eastAsia="仿宋" w:cs="仿宋"/>
        </w:rPr>
        <w:t>1. 政治素养</w:t>
      </w:r>
    </w:p>
    <w:p w14:paraId="1E58D461">
      <w:pPr>
        <w:rPr>
          <w:rFonts w:hint="eastAsia" w:ascii="仿宋" w:hAnsi="仿宋" w:eastAsia="仿宋" w:cs="仿宋"/>
        </w:rPr>
      </w:pPr>
      <w:r>
        <w:rPr>
          <w:rFonts w:hint="eastAsia" w:ascii="仿宋" w:hAnsi="仿宋" w:eastAsia="仿宋" w:cs="仿宋"/>
        </w:rPr>
        <w:t xml:space="preserve">   拥护党的路线、方针、政策，遵守国家法律法规，政治立场坚定，作风正派，无违法违规记录。</w:t>
      </w:r>
    </w:p>
    <w:p w14:paraId="3C26EE5A">
      <w:pPr>
        <w:rPr>
          <w:rFonts w:hint="eastAsia" w:ascii="仿宋" w:hAnsi="仿宋" w:eastAsia="仿宋" w:cs="仿宋"/>
        </w:rPr>
      </w:pPr>
      <w:r>
        <w:rPr>
          <w:rFonts w:hint="eastAsia" w:ascii="仿宋" w:hAnsi="仿宋" w:eastAsia="仿宋" w:cs="仿宋"/>
        </w:rPr>
        <w:t>2. 专业能力</w:t>
      </w:r>
    </w:p>
    <w:p w14:paraId="1EFB63A5">
      <w:pPr>
        <w:rPr>
          <w:rFonts w:hint="eastAsia" w:ascii="仿宋" w:hAnsi="仿宋" w:eastAsia="仿宋" w:cs="仿宋"/>
        </w:rPr>
      </w:pPr>
      <w:r>
        <w:rPr>
          <w:rFonts w:hint="eastAsia" w:ascii="仿宋" w:hAnsi="仿宋" w:eastAsia="仿宋" w:cs="仿宋"/>
        </w:rPr>
        <w:t xml:space="preserve">   具备较高的科学文化知识和政策理论水平。</w:t>
      </w:r>
    </w:p>
    <w:p w14:paraId="0EC73CCB">
      <w:pPr>
        <w:rPr>
          <w:rFonts w:hint="eastAsia" w:ascii="仿宋" w:hAnsi="仿宋" w:eastAsia="仿宋" w:cs="仿宋"/>
        </w:rPr>
      </w:pPr>
      <w:r>
        <w:rPr>
          <w:rFonts w:hint="eastAsia" w:ascii="仿宋" w:hAnsi="仿宋" w:eastAsia="仿宋" w:cs="仿宋"/>
        </w:rPr>
        <w:t xml:space="preserve">   · 优先考虑：从事法学教学研究、法律实务工作（法官、检察官、律师、行政执法人员）、媒体法律评论员或具有法律专业背景的自媒体从业者。</w:t>
      </w:r>
    </w:p>
    <w:p w14:paraId="14C8F3DF">
      <w:pPr>
        <w:rPr>
          <w:rFonts w:hint="eastAsia" w:ascii="仿宋" w:hAnsi="仿宋" w:eastAsia="仿宋" w:cs="仿宋"/>
        </w:rPr>
      </w:pPr>
      <w:r>
        <w:rPr>
          <w:rFonts w:hint="eastAsia" w:ascii="仿宋" w:hAnsi="仿宋" w:eastAsia="仿宋" w:cs="仿宋"/>
        </w:rPr>
        <w:t xml:space="preserve">   · 具备敏锐的法治舆情观察力和较强的文字表达能力，能够独立撰写深度评论文章</w:t>
      </w:r>
      <w:r>
        <w:rPr>
          <w:rFonts w:hint="eastAsia" w:ascii="仿宋" w:hAnsi="仿宋" w:eastAsia="仿宋" w:cs="仿宋"/>
          <w:lang w:eastAsia="zh-CN"/>
        </w:rPr>
        <w:t>的</w:t>
      </w:r>
      <w:r>
        <w:rPr>
          <w:rFonts w:hint="eastAsia" w:ascii="仿宋" w:hAnsi="仿宋" w:eastAsia="仿宋" w:cs="仿宋"/>
          <w:lang w:val="en-US" w:eastAsia="zh-CN"/>
        </w:rPr>
        <w:t>各商会、协会的负责人</w:t>
      </w:r>
      <w:r>
        <w:rPr>
          <w:rFonts w:hint="eastAsia" w:ascii="仿宋" w:hAnsi="仿宋" w:eastAsia="仿宋" w:cs="仿宋"/>
        </w:rPr>
        <w:t>。</w:t>
      </w:r>
    </w:p>
    <w:p w14:paraId="4A8D7F72">
      <w:pPr>
        <w:rPr>
          <w:rFonts w:hint="eastAsia" w:ascii="仿宋" w:hAnsi="仿宋" w:eastAsia="仿宋" w:cs="仿宋"/>
        </w:rPr>
      </w:pPr>
      <w:r>
        <w:rPr>
          <w:rFonts w:hint="eastAsia" w:ascii="仿宋" w:hAnsi="仿宋" w:eastAsia="仿宋" w:cs="仿宋"/>
        </w:rPr>
        <w:t>3. 社会责任</w:t>
      </w:r>
    </w:p>
    <w:p w14:paraId="2B754C38">
      <w:pPr>
        <w:rPr>
          <w:rFonts w:hint="eastAsia" w:ascii="仿宋" w:hAnsi="仿宋" w:eastAsia="仿宋" w:cs="仿宋"/>
        </w:rPr>
      </w:pPr>
      <w:r>
        <w:rPr>
          <w:rFonts w:hint="eastAsia" w:ascii="仿宋" w:hAnsi="仿宋" w:eastAsia="仿宋" w:cs="仿宋"/>
        </w:rPr>
        <w:t xml:space="preserve">   热心公益普法事业，善于联系群众，在所在行业或群体中有一定代表性和影响力，能够真实反映社情民意。</w:t>
      </w:r>
    </w:p>
    <w:p w14:paraId="2F70CAFD">
      <w:pPr>
        <w:rPr>
          <w:rFonts w:hint="eastAsia" w:ascii="仿宋" w:hAnsi="仿宋" w:eastAsia="仿宋" w:cs="仿宋"/>
        </w:rPr>
      </w:pPr>
      <w:r>
        <w:rPr>
          <w:rFonts w:hint="eastAsia" w:ascii="仿宋" w:hAnsi="仿宋" w:eastAsia="仿宋" w:cs="仿宋"/>
        </w:rPr>
        <w:t>4. 身体条件</w:t>
      </w:r>
    </w:p>
    <w:p w14:paraId="020E1C51">
      <w:pPr>
        <w:rPr>
          <w:rFonts w:hint="eastAsia" w:ascii="仿宋" w:hAnsi="仿宋" w:eastAsia="仿宋" w:cs="仿宋"/>
        </w:rPr>
      </w:pPr>
      <w:r>
        <w:rPr>
          <w:rFonts w:hint="eastAsia" w:ascii="仿宋" w:hAnsi="仿宋" w:eastAsia="仿宋" w:cs="仿宋"/>
        </w:rPr>
        <w:t xml:space="preserve">   年龄原则上不超过60周岁，身体健康，能胜任评论员工作，有充裕的时间参与栏目组的活动及撰稿任务。</w:t>
      </w:r>
    </w:p>
    <w:p w14:paraId="1B85FBDF">
      <w:pPr>
        <w:rPr>
          <w:rFonts w:hint="eastAsia" w:ascii="仿宋" w:hAnsi="仿宋" w:eastAsia="仿宋" w:cs="仿宋"/>
        </w:rPr>
      </w:pPr>
    </w:p>
    <w:p w14:paraId="0BE45663">
      <w:pPr>
        <w:rPr>
          <w:rFonts w:hint="eastAsia" w:ascii="仿宋" w:hAnsi="仿宋" w:eastAsia="仿宋" w:cs="仿宋"/>
          <w:b/>
          <w:bCs/>
        </w:rPr>
      </w:pPr>
      <w:r>
        <w:rPr>
          <w:rFonts w:hint="eastAsia" w:ascii="仿宋" w:hAnsi="仿宋" w:eastAsia="仿宋" w:cs="仿宋"/>
          <w:b/>
          <w:bCs/>
        </w:rPr>
        <w:t>二、核心任务与特殊要求（“以老带新”推荐机制）</w:t>
      </w:r>
    </w:p>
    <w:p w14:paraId="3ADAD19E">
      <w:pPr>
        <w:rPr>
          <w:rFonts w:hint="eastAsia" w:ascii="仿宋" w:hAnsi="仿宋" w:eastAsia="仿宋" w:cs="仿宋"/>
        </w:rPr>
      </w:pPr>
    </w:p>
    <w:p w14:paraId="254FB656">
      <w:pPr>
        <w:ind w:firstLine="420" w:firstLineChars="200"/>
        <w:rPr>
          <w:rFonts w:hint="eastAsia" w:ascii="仿宋" w:hAnsi="仿宋" w:eastAsia="仿宋" w:cs="仿宋"/>
        </w:rPr>
      </w:pPr>
      <w:r>
        <w:rPr>
          <w:rFonts w:hint="eastAsia" w:ascii="仿宋" w:hAnsi="仿宋" w:eastAsia="仿宋" w:cs="仿宋"/>
        </w:rPr>
        <w:t>鉴于两会后全面依法治国工作进入快速推进期，为迅速扩大优质评论员队伍规模，构建覆盖全国的全媒体普法网络，本次招募实行 “以老带新、裂变发展” 的特别机制。每一位通过审核的特约评论员，不仅是法治声音的传播者，更是法治人才的发现者。</w:t>
      </w:r>
    </w:p>
    <w:p w14:paraId="54844A3C">
      <w:pPr>
        <w:rPr>
          <w:rFonts w:hint="eastAsia" w:ascii="仿宋" w:hAnsi="仿宋" w:eastAsia="仿宋" w:cs="仿宋"/>
        </w:rPr>
      </w:pPr>
    </w:p>
    <w:p w14:paraId="51F7EA15">
      <w:pPr>
        <w:rPr>
          <w:rFonts w:hint="eastAsia" w:ascii="仿宋" w:hAnsi="仿宋" w:eastAsia="仿宋" w:cs="仿宋"/>
        </w:rPr>
      </w:pPr>
      <w:r>
        <w:rPr>
          <w:rFonts w:hint="eastAsia" w:ascii="仿宋" w:hAnsi="仿宋" w:eastAsia="仿宋" w:cs="仿宋"/>
        </w:rPr>
        <w:t>【特别任务说明】</w:t>
      </w:r>
    </w:p>
    <w:p w14:paraId="6D9BDF4A">
      <w:pPr>
        <w:rPr>
          <w:rFonts w:hint="eastAsia" w:ascii="仿宋" w:hAnsi="仿宋" w:eastAsia="仿宋" w:cs="仿宋"/>
        </w:rPr>
      </w:pPr>
      <w:r>
        <w:rPr>
          <w:rFonts w:hint="eastAsia" w:ascii="仿宋" w:hAnsi="仿宋" w:eastAsia="仿宋" w:cs="仿宋"/>
        </w:rPr>
        <w:t>自获聘之日起，所有新任特约评论员须在一个月内，完成以下履职义务：</w:t>
      </w:r>
    </w:p>
    <w:p w14:paraId="6EC9F6AE">
      <w:pPr>
        <w:rPr>
          <w:rFonts w:hint="eastAsia" w:ascii="仿宋" w:hAnsi="仿宋" w:eastAsia="仿宋" w:cs="仿宋"/>
        </w:rPr>
      </w:pPr>
    </w:p>
    <w:p w14:paraId="352528C3">
      <w:pPr>
        <w:rPr>
          <w:rFonts w:hint="eastAsia" w:ascii="仿宋" w:hAnsi="仿宋" w:eastAsia="仿宋" w:cs="仿宋"/>
        </w:rPr>
      </w:pPr>
      <w:r>
        <w:rPr>
          <w:rFonts w:hint="eastAsia" w:ascii="仿宋" w:hAnsi="仿宋" w:eastAsia="仿宋" w:cs="仿宋"/>
        </w:rPr>
        <w:t>1. 推荐人数：利用自身在法律圈、行业圈或社交圈的影响力，为本栏目全媒体普法中心推荐三名符合上述条件的新特约评论员候选人。</w:t>
      </w:r>
    </w:p>
    <w:p w14:paraId="26E728B7">
      <w:pPr>
        <w:rPr>
          <w:rFonts w:hint="eastAsia" w:ascii="仿宋" w:hAnsi="仿宋" w:eastAsia="仿宋" w:cs="仿宋"/>
        </w:rPr>
      </w:pPr>
      <w:r>
        <w:rPr>
          <w:rFonts w:hint="eastAsia" w:ascii="仿宋" w:hAnsi="仿宋" w:eastAsia="仿宋" w:cs="仿宋"/>
        </w:rPr>
        <w:t>2. 推荐标准：被推荐人应具备较高的法治素养，拥护依法治国方针，且自愿投入普法工作。</w:t>
      </w:r>
    </w:p>
    <w:p w14:paraId="5C15A73F">
      <w:pPr>
        <w:rPr>
          <w:rFonts w:hint="eastAsia" w:ascii="仿宋" w:hAnsi="仿宋" w:eastAsia="仿宋" w:cs="仿宋"/>
        </w:rPr>
      </w:pPr>
      <w:r>
        <w:rPr>
          <w:rFonts w:hint="eastAsia" w:ascii="仿宋" w:hAnsi="仿宋" w:eastAsia="仿宋" w:cs="仿宋"/>
        </w:rPr>
        <w:t>3. 推荐流程：推荐人需填写《特约评论员推荐表》，简述被推荐人的专业特长及推荐理由。被推荐人通过栏目组审核并正式获聘后，计入推荐人任务完成情况。</w:t>
      </w:r>
    </w:p>
    <w:p w14:paraId="0B0E115D">
      <w:pPr>
        <w:rPr>
          <w:rFonts w:hint="eastAsia" w:ascii="仿宋" w:hAnsi="仿宋" w:eastAsia="仿宋" w:cs="仿宋"/>
        </w:rPr>
      </w:pPr>
    </w:p>
    <w:p w14:paraId="34C97801">
      <w:pPr>
        <w:rPr>
          <w:rFonts w:hint="eastAsia" w:ascii="仿宋" w:hAnsi="仿宋" w:eastAsia="仿宋" w:cs="仿宋"/>
        </w:rPr>
      </w:pPr>
      <w:r>
        <w:rPr>
          <w:rFonts w:hint="eastAsia" w:ascii="仿宋" w:hAnsi="仿宋" w:eastAsia="仿宋" w:cs="仿宋"/>
        </w:rPr>
        <w:t>制度释义： 此举旨在快速构建覆盖面更广的</w:t>
      </w:r>
      <w:r>
        <w:rPr>
          <w:rFonts w:hint="eastAsia" w:ascii="仿宋" w:hAnsi="仿宋" w:eastAsia="仿宋" w:cs="仿宋"/>
          <w:lang w:eastAsia="zh-CN"/>
        </w:rPr>
        <w:t>《</w:t>
      </w:r>
      <w:r>
        <w:rPr>
          <w:rFonts w:hint="eastAsia" w:ascii="仿宋" w:hAnsi="仿宋" w:eastAsia="仿宋" w:cs="仿宋"/>
        </w:rPr>
        <w:t>法治观察</w:t>
      </w:r>
      <w:r>
        <w:rPr>
          <w:rFonts w:hint="eastAsia" w:ascii="仿宋" w:hAnsi="仿宋" w:eastAsia="仿宋" w:cs="仿宋"/>
          <w:lang w:eastAsia="zh-CN"/>
        </w:rPr>
        <w:t>》</w:t>
      </w:r>
      <w:r>
        <w:rPr>
          <w:rFonts w:hint="eastAsia" w:ascii="仿宋" w:hAnsi="仿宋" w:eastAsia="仿宋" w:cs="仿宋"/>
        </w:rPr>
        <w:t>网络，确保依法治国理念在基层、在各专业领域“有人听、有人讲、有人评”。</w:t>
      </w:r>
    </w:p>
    <w:p w14:paraId="6737EF58">
      <w:pPr>
        <w:rPr>
          <w:rFonts w:hint="eastAsia" w:ascii="仿宋" w:hAnsi="仿宋" w:eastAsia="仿宋" w:cs="仿宋"/>
        </w:rPr>
      </w:pPr>
    </w:p>
    <w:p w14:paraId="3C404B5B">
      <w:pPr>
        <w:rPr>
          <w:rFonts w:hint="eastAsia" w:ascii="仿宋" w:hAnsi="仿宋" w:eastAsia="仿宋" w:cs="仿宋"/>
          <w:b/>
          <w:bCs/>
        </w:rPr>
      </w:pPr>
      <w:r>
        <w:rPr>
          <w:rFonts w:hint="eastAsia" w:ascii="仿宋" w:hAnsi="仿宋" w:eastAsia="仿宋" w:cs="仿宋"/>
          <w:b/>
          <w:bCs/>
        </w:rPr>
        <w:t>三、评论员职责与权益</w:t>
      </w:r>
    </w:p>
    <w:p w14:paraId="39DD1632">
      <w:pPr>
        <w:rPr>
          <w:rFonts w:hint="eastAsia" w:ascii="仿宋" w:hAnsi="仿宋" w:eastAsia="仿宋" w:cs="仿宋"/>
        </w:rPr>
      </w:pPr>
    </w:p>
    <w:p w14:paraId="50635B58">
      <w:pPr>
        <w:rPr>
          <w:rFonts w:hint="eastAsia" w:ascii="仿宋" w:hAnsi="仿宋" w:eastAsia="仿宋" w:cs="仿宋"/>
        </w:rPr>
      </w:pPr>
      <w:r>
        <w:rPr>
          <w:rFonts w:hint="eastAsia" w:ascii="仿宋" w:hAnsi="仿宋" w:eastAsia="仿宋" w:cs="仿宋"/>
        </w:rPr>
        <w:t>1. 主要职责：</w:t>
      </w:r>
    </w:p>
    <w:p w14:paraId="0BB3A9BB">
      <w:pPr>
        <w:rPr>
          <w:rFonts w:hint="eastAsia" w:ascii="仿宋" w:hAnsi="仿宋" w:eastAsia="仿宋" w:cs="仿宋"/>
        </w:rPr>
      </w:pPr>
      <w:r>
        <w:rPr>
          <w:rFonts w:hint="eastAsia" w:ascii="仿宋" w:hAnsi="仿宋" w:eastAsia="仿宋" w:cs="仿宋"/>
        </w:rPr>
        <w:t xml:space="preserve">   · 围绕国家法治建设重大部署、新法新规实施、社会法治热点事件，撰写特约评论文章。</w:t>
      </w:r>
    </w:p>
    <w:p w14:paraId="1DAEB78F">
      <w:pPr>
        <w:rPr>
          <w:rFonts w:hint="eastAsia" w:ascii="仿宋" w:hAnsi="仿宋" w:eastAsia="仿宋" w:cs="仿宋"/>
        </w:rPr>
      </w:pPr>
      <w:r>
        <w:rPr>
          <w:rFonts w:hint="eastAsia" w:ascii="仿宋" w:hAnsi="仿宋" w:eastAsia="仿宋" w:cs="仿宋"/>
        </w:rPr>
        <w:t xml:space="preserve">   · 参与全媒体普法中心的视频、直播访谈节目录制。</w:t>
      </w:r>
    </w:p>
    <w:p w14:paraId="359909E5">
      <w:pPr>
        <w:rPr>
          <w:rFonts w:hint="eastAsia" w:ascii="仿宋" w:hAnsi="仿宋" w:eastAsia="仿宋" w:cs="仿宋"/>
        </w:rPr>
      </w:pPr>
      <w:r>
        <w:rPr>
          <w:rFonts w:hint="eastAsia" w:ascii="仿宋" w:hAnsi="仿宋" w:eastAsia="仿宋" w:cs="仿宋"/>
        </w:rPr>
        <w:t xml:space="preserve">   · 收集和反映基层法治建设中的实际问题与群众建议。</w:t>
      </w:r>
    </w:p>
    <w:p w14:paraId="2A8D33F3">
      <w:pPr>
        <w:rPr>
          <w:rFonts w:hint="eastAsia" w:ascii="仿宋" w:hAnsi="仿宋" w:eastAsia="仿宋" w:cs="仿宋"/>
        </w:rPr>
      </w:pPr>
      <w:r>
        <w:rPr>
          <w:rFonts w:hint="eastAsia" w:ascii="仿宋" w:hAnsi="仿宋" w:eastAsia="仿宋" w:cs="仿宋"/>
        </w:rPr>
        <w:t>2. 享有权益：</w:t>
      </w:r>
    </w:p>
    <w:p w14:paraId="30AADCA4">
      <w:pPr>
        <w:rPr>
          <w:rFonts w:hint="eastAsia" w:ascii="仿宋" w:hAnsi="仿宋" w:eastAsia="仿宋" w:cs="仿宋"/>
        </w:rPr>
      </w:pPr>
      <w:r>
        <w:rPr>
          <w:rFonts w:hint="eastAsia" w:ascii="仿宋" w:hAnsi="仿宋" w:eastAsia="仿宋" w:cs="仿宋"/>
        </w:rPr>
        <w:t xml:space="preserve">   · 优先获取栏目组提供的法治资讯、内部参考及业务资料。</w:t>
      </w:r>
    </w:p>
    <w:p w14:paraId="503EC04E">
      <w:pPr>
        <w:rPr>
          <w:rFonts w:hint="eastAsia" w:ascii="仿宋" w:hAnsi="仿宋" w:eastAsia="仿宋" w:cs="仿宋"/>
        </w:rPr>
      </w:pPr>
      <w:r>
        <w:rPr>
          <w:rFonts w:hint="eastAsia" w:ascii="仿宋" w:hAnsi="仿宋" w:eastAsia="仿宋" w:cs="仿宋"/>
        </w:rPr>
        <w:t xml:space="preserve">   · 受邀参加重大法治论坛、学术研讨及执法司法调研活动。</w:t>
      </w:r>
    </w:p>
    <w:p w14:paraId="0332F037">
      <w:pPr>
        <w:rPr>
          <w:rFonts w:hint="eastAsia" w:ascii="仿宋" w:hAnsi="仿宋" w:eastAsia="仿宋" w:cs="仿宋"/>
        </w:rPr>
      </w:pPr>
      <w:r>
        <w:rPr>
          <w:rFonts w:hint="eastAsia" w:ascii="仿宋" w:hAnsi="仿宋" w:eastAsia="仿宋" w:cs="仿宋"/>
        </w:rPr>
        <w:t xml:space="preserve">   · 优秀评论文章将在全媒体平台置顶推送，并有机会向中央及省级法治媒体推荐发表。</w:t>
      </w:r>
    </w:p>
    <w:p w14:paraId="27FE225B">
      <w:pPr>
        <w:rPr>
          <w:rFonts w:hint="eastAsia" w:ascii="仿宋" w:hAnsi="仿宋" w:eastAsia="仿宋" w:cs="仿宋"/>
        </w:rPr>
      </w:pPr>
      <w:r>
        <w:rPr>
          <w:rFonts w:hint="eastAsia" w:ascii="仿宋" w:hAnsi="仿宋" w:eastAsia="仿宋" w:cs="仿宋"/>
        </w:rPr>
        <w:t xml:space="preserve">   · </w:t>
      </w:r>
      <w:r>
        <w:rPr>
          <w:rFonts w:hint="eastAsia" w:ascii="仿宋" w:hAnsi="仿宋" w:eastAsia="仿宋" w:cs="仿宋"/>
          <w:lang w:val="en-US" w:eastAsia="zh-CN"/>
        </w:rPr>
        <w:t>一年</w:t>
      </w:r>
      <w:r>
        <w:rPr>
          <w:rFonts w:hint="eastAsia" w:ascii="仿宋" w:hAnsi="仿宋" w:eastAsia="仿宋" w:cs="仿宋"/>
        </w:rPr>
        <w:t>聘任期满后，根据履职情况（特别是推荐人才的数量与质量）评定为优秀评论员，予以续聘或表彰。</w:t>
      </w:r>
    </w:p>
    <w:p w14:paraId="11FA8641">
      <w:pPr>
        <w:rPr>
          <w:rFonts w:hint="eastAsia" w:ascii="仿宋" w:hAnsi="仿宋" w:eastAsia="仿宋" w:cs="仿宋"/>
        </w:rPr>
      </w:pPr>
    </w:p>
    <w:p w14:paraId="3BF6B2D4">
      <w:pPr>
        <w:rPr>
          <w:rFonts w:hint="eastAsia" w:ascii="仿宋" w:hAnsi="仿宋" w:eastAsia="仿宋" w:cs="仿宋"/>
          <w:b/>
          <w:bCs/>
        </w:rPr>
      </w:pPr>
      <w:r>
        <w:rPr>
          <w:rFonts w:hint="eastAsia" w:ascii="仿宋" w:hAnsi="仿宋" w:eastAsia="仿宋" w:cs="仿宋"/>
          <w:b/>
          <w:bCs/>
        </w:rPr>
        <w:t>四、报名及选拔流程</w:t>
      </w:r>
    </w:p>
    <w:p w14:paraId="79F443B7">
      <w:pPr>
        <w:rPr>
          <w:rFonts w:hint="eastAsia" w:ascii="仿宋" w:hAnsi="仿宋" w:eastAsia="仿宋" w:cs="仿宋"/>
        </w:rPr>
      </w:pPr>
    </w:p>
    <w:p w14:paraId="5D418FDE">
      <w:pPr>
        <w:rPr>
          <w:rFonts w:hint="eastAsia" w:ascii="仿宋" w:hAnsi="仿宋" w:eastAsia="仿宋" w:cs="仿宋"/>
        </w:rPr>
      </w:pPr>
      <w:r>
        <w:rPr>
          <w:rFonts w:hint="eastAsia" w:ascii="仿宋" w:hAnsi="仿宋" w:eastAsia="仿宋" w:cs="仿宋"/>
        </w:rPr>
        <w:t>1. 报名方式：提交个人简历及一篇近期原创法治评论作品至指定邮箱。</w:t>
      </w:r>
    </w:p>
    <w:p w14:paraId="3E5F1566">
      <w:pPr>
        <w:rPr>
          <w:rFonts w:hint="eastAsia" w:ascii="仿宋" w:hAnsi="仿宋" w:eastAsia="仿宋" w:cs="仿宋"/>
        </w:rPr>
      </w:pPr>
      <w:r>
        <w:rPr>
          <w:rFonts w:hint="eastAsia" w:ascii="仿宋" w:hAnsi="仿宋" w:eastAsia="仿宋" w:cs="仿宋"/>
        </w:rPr>
        <w:t>2. 审核机制：栏目组将对报名材料进行初审，重点考察政治方向、专业功底及评论风格。</w:t>
      </w:r>
    </w:p>
    <w:p w14:paraId="710FF1CA">
      <w:pPr>
        <w:rPr>
          <w:rFonts w:hint="eastAsia" w:ascii="仿宋" w:hAnsi="仿宋" w:eastAsia="仿宋" w:cs="仿宋"/>
        </w:rPr>
      </w:pPr>
      <w:r>
        <w:rPr>
          <w:rFonts w:hint="eastAsia" w:ascii="仿宋" w:hAnsi="仿宋" w:eastAsia="仿宋" w:cs="仿宋"/>
        </w:rPr>
        <w:t>3. 聘任上岗：通过审核者将颁发《法治观察》特约评论员聘书。聘书发放即视为任务启动，需在一个月内启动“三名推荐计划”。</w:t>
      </w:r>
    </w:p>
    <w:p w14:paraId="19DF8162">
      <w:pPr>
        <w:rPr>
          <w:rFonts w:hint="eastAsia" w:ascii="仿宋" w:hAnsi="仿宋" w:eastAsia="仿宋" w:cs="仿宋"/>
        </w:rPr>
      </w:pPr>
    </w:p>
    <w:p w14:paraId="5F7DD552">
      <w:pPr>
        <w:rPr>
          <w:rFonts w:hint="eastAsia" w:ascii="仿宋" w:hAnsi="仿宋" w:eastAsia="仿宋" w:cs="仿宋"/>
          <w:lang w:val="en-US" w:eastAsia="zh-CN"/>
        </w:rPr>
      </w:pPr>
      <w:r>
        <w:rPr>
          <w:rFonts w:hint="eastAsia" w:ascii="仿宋" w:hAnsi="仿宋" w:eastAsia="仿宋" w:cs="仿宋"/>
        </w:rPr>
        <w:t>联系人：</w:t>
      </w:r>
      <w:r>
        <w:rPr>
          <w:rFonts w:hint="eastAsia" w:ascii="仿宋" w:hAnsi="仿宋" w:eastAsia="仿宋" w:cs="仿宋"/>
          <w:lang w:val="en-US" w:eastAsia="zh-CN"/>
        </w:rPr>
        <w:t>周怡</w:t>
      </w:r>
    </w:p>
    <w:p w14:paraId="58818E7D">
      <w:pPr>
        <w:rPr>
          <w:rFonts w:hint="eastAsia" w:ascii="仿宋" w:hAnsi="仿宋" w:eastAsia="仿宋" w:cs="仿宋"/>
          <w:lang w:val="en-US" w:eastAsia="zh-CN"/>
        </w:rPr>
      </w:pPr>
      <w:r>
        <w:rPr>
          <w:rFonts w:hint="eastAsia" w:ascii="仿宋" w:hAnsi="仿宋" w:eastAsia="仿宋" w:cs="仿宋"/>
          <w:lang w:val="en-US" w:eastAsia="zh-CN"/>
        </w:rPr>
        <w:t>办公电话：010--69292369</w:t>
      </w:r>
    </w:p>
    <w:p w14:paraId="5A52EAC5">
      <w:pPr>
        <w:rPr>
          <w:rFonts w:hint="eastAsia" w:ascii="仿宋" w:hAnsi="仿宋" w:eastAsia="仿宋" w:cs="仿宋"/>
        </w:rPr>
      </w:pPr>
    </w:p>
    <w:p w14:paraId="5FEA9778">
      <w:pPr>
        <w:ind w:firstLine="4830" w:firstLineChars="2300"/>
        <w:rPr>
          <w:rFonts w:hint="eastAsia" w:ascii="仿宋" w:hAnsi="仿宋" w:eastAsia="仿宋" w:cs="仿宋"/>
        </w:rPr>
      </w:pPr>
      <w:r>
        <w:rPr>
          <w:rFonts w:hint="eastAsia" w:ascii="仿宋" w:hAnsi="仿宋" w:eastAsia="仿宋" w:cs="仿宋"/>
        </w:rPr>
        <w:t>《法治观察》栏目组</w:t>
      </w:r>
    </w:p>
    <w:p w14:paraId="055217BA">
      <w:pPr>
        <w:ind w:firstLine="5040" w:firstLineChars="2400"/>
        <w:rPr>
          <w:rFonts w:hint="eastAsia" w:ascii="仿宋" w:hAnsi="仿宋" w:eastAsia="仿宋" w:cs="仿宋"/>
        </w:rPr>
      </w:pPr>
      <w:r>
        <w:rPr>
          <w:rFonts w:hint="eastAsia" w:ascii="仿宋" w:hAnsi="仿宋" w:eastAsia="仿宋" w:cs="仿宋"/>
        </w:rPr>
        <w:t>2026年3月10日</w:t>
      </w:r>
    </w:p>
    <w:p w14:paraId="6C14874C">
      <w:pPr>
        <w:rPr>
          <w:rFonts w:hint="eastAsia" w:ascii="仿宋" w:hAnsi="仿宋" w:eastAsia="仿宋" w:cs="仿宋"/>
        </w:rPr>
      </w:pPr>
    </w:p>
    <w:p w14:paraId="4F3CCB82">
      <w:pPr>
        <w:rPr>
          <w:rFonts w:hint="eastAsia" w:ascii="仿宋" w:hAnsi="仿宋" w:eastAsia="仿宋" w:cs="仿宋"/>
        </w:rPr>
      </w:pPr>
    </w:p>
    <w:p w14:paraId="433AF1FF">
      <w:pPr>
        <w:rPr>
          <w:rFonts w:hint="eastAsia" w:ascii="仿宋" w:hAnsi="仿宋" w:eastAsia="仿宋" w:cs="仿宋"/>
        </w:rPr>
      </w:pPr>
    </w:p>
    <w:p w14:paraId="6A2C718B">
      <w:pPr>
        <w:rPr>
          <w:rFonts w:hint="eastAsia" w:ascii="仿宋" w:hAnsi="仿宋" w:eastAsia="仿宋" w:cs="仿宋"/>
        </w:rPr>
      </w:pPr>
    </w:p>
    <w:p w14:paraId="18DF95B4">
      <w:pPr>
        <w:rPr>
          <w:rFonts w:hint="eastAsia" w:ascii="仿宋" w:hAnsi="仿宋" w:eastAsia="仿宋" w:cs="仿宋"/>
        </w:rPr>
      </w:pPr>
    </w:p>
    <w:p w14:paraId="71036454">
      <w:pPr>
        <w:rPr>
          <w:rFonts w:hint="eastAsia" w:ascii="仿宋" w:hAnsi="仿宋" w:eastAsia="仿宋" w:cs="仿宋"/>
        </w:rPr>
      </w:pPr>
    </w:p>
    <w:p w14:paraId="097D2F26">
      <w:pPr>
        <w:rPr>
          <w:rFonts w:hint="eastAsia" w:ascii="仿宋" w:hAnsi="仿宋" w:eastAsia="仿宋" w:cs="仿宋"/>
        </w:rPr>
      </w:pPr>
    </w:p>
    <w:p w14:paraId="35A0F9ED">
      <w:pPr>
        <w:rPr>
          <w:rFonts w:hint="eastAsia" w:ascii="仿宋" w:hAnsi="仿宋" w:eastAsia="仿宋" w:cs="仿宋"/>
        </w:rPr>
      </w:pPr>
    </w:p>
    <w:p w14:paraId="2BC724B2">
      <w:pPr>
        <w:rPr>
          <w:rFonts w:hint="eastAsia" w:ascii="仿宋" w:hAnsi="仿宋" w:eastAsia="仿宋" w:cs="仿宋"/>
        </w:rPr>
      </w:pPr>
    </w:p>
    <w:p w14:paraId="75183134">
      <w:pPr>
        <w:rPr>
          <w:rFonts w:hint="eastAsia" w:ascii="仿宋" w:hAnsi="仿宋" w:eastAsia="仿宋" w:cs="仿宋"/>
        </w:rPr>
      </w:pPr>
    </w:p>
    <w:p w14:paraId="5EE0C388">
      <w:pPr>
        <w:rPr>
          <w:rFonts w:hint="eastAsia" w:ascii="仿宋" w:hAnsi="仿宋" w:eastAsia="仿宋" w:cs="仿宋"/>
        </w:rPr>
      </w:pPr>
    </w:p>
    <w:p w14:paraId="33E3250C">
      <w:pPr>
        <w:rPr>
          <w:rFonts w:hint="eastAsia" w:ascii="仿宋" w:hAnsi="仿宋" w:eastAsia="仿宋" w:cs="仿宋"/>
        </w:rPr>
      </w:pPr>
    </w:p>
    <w:p w14:paraId="022A2532">
      <w:pPr>
        <w:rPr>
          <w:rFonts w:hint="eastAsia" w:ascii="仿宋" w:hAnsi="仿宋" w:eastAsia="仿宋" w:cs="仿宋"/>
        </w:rPr>
      </w:pPr>
    </w:p>
    <w:p w14:paraId="5DF73CA9">
      <w:pPr>
        <w:rPr>
          <w:rFonts w:hint="eastAsia" w:ascii="仿宋" w:hAnsi="仿宋" w:eastAsia="仿宋" w:cs="仿宋"/>
        </w:rPr>
      </w:pPr>
    </w:p>
    <w:p w14:paraId="4094F6A6">
      <w:pPr>
        <w:rPr>
          <w:rFonts w:hint="eastAsia" w:ascii="仿宋" w:hAnsi="仿宋" w:eastAsia="仿宋" w:cs="仿宋"/>
        </w:rPr>
      </w:pPr>
    </w:p>
    <w:p w14:paraId="59B3B974">
      <w:pPr>
        <w:rPr>
          <w:rFonts w:hint="eastAsia" w:ascii="仿宋" w:hAnsi="仿宋" w:eastAsia="仿宋" w:cs="仿宋"/>
        </w:rPr>
      </w:pPr>
    </w:p>
    <w:p w14:paraId="03315EDC">
      <w:pPr>
        <w:rPr>
          <w:rFonts w:hint="eastAsia" w:ascii="仿宋" w:hAnsi="仿宋" w:eastAsia="仿宋" w:cs="仿宋"/>
        </w:rPr>
      </w:pPr>
    </w:p>
    <w:p w14:paraId="575E1D7B">
      <w:pPr>
        <w:rPr>
          <w:rFonts w:hint="eastAsia" w:ascii="仿宋" w:hAnsi="仿宋" w:eastAsia="仿宋" w:cs="仿宋"/>
        </w:rPr>
      </w:pPr>
    </w:p>
    <w:p w14:paraId="49E5E8E8">
      <w:pPr>
        <w:snapToGrid w:val="0"/>
        <w:spacing w:after="240" w:line="240" w:lineRule="atLeast"/>
        <w:jc w:val="center"/>
        <w:rPr>
          <w:rFonts w:hint="eastAsia" w:ascii="黑体" w:hAnsi="微软雅黑" w:eastAsia="黑体"/>
          <w:b/>
          <w:color w:val="FF0000"/>
          <w:sz w:val="48"/>
          <w:szCs w:val="52"/>
        </w:rPr>
      </w:pPr>
      <w:r>
        <w:rPr>
          <w:rFonts w:hint="eastAsia" w:ascii="黑体" w:hAnsi="微软雅黑" w:eastAsia="黑体"/>
          <w:b/>
          <w:color w:val="FF0000"/>
          <w:sz w:val="48"/>
          <w:szCs w:val="52"/>
        </w:rPr>
        <w:t>《法治观察》</w:t>
      </w:r>
      <w:r>
        <w:rPr>
          <w:rFonts w:hint="eastAsia" w:ascii="黑体" w:hAnsi="微软雅黑" w:eastAsia="黑体"/>
          <w:b/>
          <w:color w:val="FF0000"/>
          <w:sz w:val="48"/>
          <w:szCs w:val="52"/>
          <w:lang w:val="en-US" w:eastAsia="zh-CN"/>
        </w:rPr>
        <w:t>特约评论员</w:t>
      </w:r>
      <w:r>
        <w:rPr>
          <w:rFonts w:hint="eastAsia" w:ascii="黑体" w:hAnsi="微软雅黑" w:eastAsia="黑体"/>
          <w:b/>
          <w:color w:val="FF0000"/>
          <w:sz w:val="48"/>
          <w:szCs w:val="52"/>
        </w:rPr>
        <w:t>申请表</w:t>
      </w:r>
    </w:p>
    <w:p w14:paraId="6554109D">
      <w:pPr>
        <w:snapToGrid w:val="0"/>
        <w:spacing w:after="240" w:line="240" w:lineRule="atLeast"/>
        <w:jc w:val="center"/>
        <w:rPr>
          <w:rFonts w:ascii="方正大黑简体" w:hAnsi="微软雅黑" w:eastAsia="方正大黑简体"/>
          <w:b/>
          <w:color w:val="FF0000"/>
          <w:sz w:val="52"/>
          <w:szCs w:val="52"/>
        </w:rPr>
      </w:pPr>
      <w:r>
        <w:rPr>
          <w:rFonts w:hint="eastAsia" w:ascii="黑体" w:hAnsi="微软雅黑" w:eastAsia="黑体"/>
          <w:bCs/>
          <w:sz w:val="44"/>
          <w:szCs w:val="44"/>
        </w:rPr>
        <w:t>www.fzgc.tv</w:t>
      </w:r>
    </w:p>
    <w:p w14:paraId="5A7AB105">
      <w:pPr>
        <w:jc w:val="right"/>
        <w:rPr>
          <w:rFonts w:ascii="宋体" w:hAnsi="宋体"/>
          <w:b/>
          <w:sz w:val="24"/>
          <w:szCs w:val="24"/>
        </w:rPr>
      </w:pPr>
      <w:r>
        <w:rPr>
          <w:rFonts w:hint="eastAsia" w:ascii="宋体" w:hAnsi="宋体"/>
          <w:b/>
          <w:sz w:val="24"/>
          <w:szCs w:val="24"/>
        </w:rPr>
        <w:t>申请时间：</w:t>
      </w:r>
      <w:r>
        <w:rPr>
          <w:rFonts w:hint="eastAsia" w:ascii="宋体" w:hAnsi="宋体"/>
          <w:b/>
          <w:sz w:val="24"/>
          <w:szCs w:val="24"/>
          <w:lang w:val="en-US" w:eastAsia="zh-CN"/>
        </w:rPr>
        <w:t>2026</w:t>
      </w:r>
      <w:r>
        <w:rPr>
          <w:rFonts w:hint="eastAsia" w:ascii="宋体" w:hAnsi="宋体"/>
          <w:b/>
          <w:sz w:val="24"/>
          <w:szCs w:val="24"/>
        </w:rPr>
        <w:t xml:space="preserve">年 </w:t>
      </w:r>
      <w:r>
        <w:rPr>
          <w:rFonts w:hint="eastAsia" w:ascii="宋体" w:hAnsi="宋体"/>
          <w:b/>
          <w:sz w:val="24"/>
          <w:szCs w:val="24"/>
          <w:lang w:val="en-US" w:eastAsia="zh-CN"/>
        </w:rPr>
        <w:t>3</w:t>
      </w:r>
      <w:r>
        <w:rPr>
          <w:rFonts w:hint="eastAsia" w:ascii="宋体" w:hAnsi="宋体"/>
          <w:b/>
          <w:sz w:val="24"/>
          <w:szCs w:val="24"/>
        </w:rPr>
        <w:t>月</w:t>
      </w:r>
      <w:r>
        <w:rPr>
          <w:rFonts w:hint="eastAsia" w:ascii="宋体" w:hAnsi="宋体"/>
          <w:b/>
          <w:sz w:val="24"/>
          <w:szCs w:val="24"/>
          <w:lang w:val="en-US" w:eastAsia="zh-CN"/>
        </w:rPr>
        <w:t xml:space="preserve"> </w:t>
      </w:r>
      <w:r>
        <w:rPr>
          <w:rFonts w:hint="eastAsia" w:ascii="宋体" w:hAnsi="宋体"/>
          <w:b/>
          <w:sz w:val="24"/>
          <w:szCs w:val="24"/>
        </w:rPr>
        <w:t>日</w:t>
      </w:r>
    </w:p>
    <w:tbl>
      <w:tblPr>
        <w:tblStyle w:val="4"/>
        <w:tblW w:w="89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1"/>
        <w:gridCol w:w="2280"/>
        <w:gridCol w:w="720"/>
        <w:gridCol w:w="621"/>
        <w:gridCol w:w="777"/>
        <w:gridCol w:w="1195"/>
        <w:gridCol w:w="1880"/>
      </w:tblGrid>
      <w:tr w14:paraId="01EA2C20">
        <w:trPr>
          <w:trHeight w:val="510" w:hRule="atLeast"/>
          <w:jc w:val="center"/>
        </w:trPr>
        <w:tc>
          <w:tcPr>
            <w:tcW w:w="1471" w:type="dxa"/>
            <w:tcBorders>
              <w:top w:val="single" w:color="auto" w:sz="4" w:space="0"/>
              <w:left w:val="single" w:color="auto" w:sz="4" w:space="0"/>
              <w:bottom w:val="single" w:color="auto" w:sz="4" w:space="0"/>
              <w:right w:val="single" w:color="auto" w:sz="4" w:space="0"/>
            </w:tcBorders>
            <w:noWrap w:val="0"/>
            <w:vAlign w:val="center"/>
          </w:tcPr>
          <w:p w14:paraId="776D4CB1">
            <w:pPr>
              <w:jc w:val="center"/>
              <w:rPr>
                <w:rFonts w:ascii="宋体" w:hAnsi="宋体"/>
                <w:sz w:val="22"/>
              </w:rPr>
            </w:pPr>
            <w:r>
              <w:rPr>
                <w:rFonts w:hint="eastAsia" w:ascii="宋体" w:hAnsi="宋体"/>
                <w:sz w:val="22"/>
              </w:rPr>
              <w:t>申请人姓名</w:t>
            </w:r>
          </w:p>
        </w:tc>
        <w:tc>
          <w:tcPr>
            <w:tcW w:w="2280" w:type="dxa"/>
            <w:tcBorders>
              <w:top w:val="single" w:color="auto" w:sz="4" w:space="0"/>
              <w:left w:val="single" w:color="auto" w:sz="4" w:space="0"/>
              <w:bottom w:val="single" w:color="auto" w:sz="4" w:space="0"/>
              <w:right w:val="single" w:color="auto" w:sz="4" w:space="0"/>
            </w:tcBorders>
            <w:noWrap w:val="0"/>
            <w:vAlign w:val="center"/>
          </w:tcPr>
          <w:p w14:paraId="3862B93C">
            <w:pPr>
              <w:tabs>
                <w:tab w:val="center" w:pos="1092"/>
                <w:tab w:val="right" w:pos="2064"/>
              </w:tabs>
              <w:jc w:val="left"/>
              <w:rPr>
                <w:rFonts w:hint="eastAsia" w:ascii="宋体" w:hAnsi="宋体" w:eastAsia="宋体"/>
                <w:sz w:val="22"/>
                <w:lang w:eastAsia="zh-CN"/>
              </w:rPr>
            </w:pPr>
          </w:p>
        </w:tc>
        <w:tc>
          <w:tcPr>
            <w:tcW w:w="720" w:type="dxa"/>
            <w:tcBorders>
              <w:top w:val="single" w:color="auto" w:sz="4" w:space="0"/>
              <w:left w:val="single" w:color="auto" w:sz="4" w:space="0"/>
              <w:bottom w:val="single" w:color="auto" w:sz="4" w:space="0"/>
              <w:right w:val="single" w:color="auto" w:sz="4" w:space="0"/>
            </w:tcBorders>
            <w:noWrap w:val="0"/>
            <w:vAlign w:val="center"/>
          </w:tcPr>
          <w:p w14:paraId="400D2608">
            <w:pPr>
              <w:jc w:val="center"/>
              <w:rPr>
                <w:rFonts w:ascii="宋体" w:hAnsi="宋体"/>
                <w:sz w:val="22"/>
              </w:rPr>
            </w:pPr>
            <w:r>
              <w:rPr>
                <w:rFonts w:hint="eastAsia" w:ascii="宋体" w:hAnsi="宋体"/>
                <w:sz w:val="22"/>
              </w:rPr>
              <w:t>性别</w:t>
            </w:r>
          </w:p>
        </w:tc>
        <w:tc>
          <w:tcPr>
            <w:tcW w:w="621" w:type="dxa"/>
            <w:tcBorders>
              <w:top w:val="single" w:color="auto" w:sz="4" w:space="0"/>
              <w:left w:val="single" w:color="auto" w:sz="4" w:space="0"/>
              <w:bottom w:val="single" w:color="auto" w:sz="4" w:space="0"/>
              <w:right w:val="single" w:color="auto" w:sz="4" w:space="0"/>
            </w:tcBorders>
            <w:noWrap w:val="0"/>
            <w:vAlign w:val="center"/>
          </w:tcPr>
          <w:p w14:paraId="0C8B6A49">
            <w:pPr>
              <w:jc w:val="center"/>
              <w:rPr>
                <w:rFonts w:ascii="宋体" w:hAnsi="宋体"/>
                <w:sz w:val="22"/>
              </w:rPr>
            </w:pPr>
          </w:p>
        </w:tc>
        <w:tc>
          <w:tcPr>
            <w:tcW w:w="777" w:type="dxa"/>
            <w:tcBorders>
              <w:top w:val="single" w:color="auto" w:sz="4" w:space="0"/>
              <w:left w:val="single" w:color="auto" w:sz="4" w:space="0"/>
              <w:bottom w:val="single" w:color="auto" w:sz="4" w:space="0"/>
              <w:right w:val="single" w:color="auto" w:sz="4" w:space="0"/>
            </w:tcBorders>
            <w:noWrap w:val="0"/>
            <w:vAlign w:val="center"/>
          </w:tcPr>
          <w:p w14:paraId="4E535CDC">
            <w:pPr>
              <w:jc w:val="center"/>
              <w:rPr>
                <w:rFonts w:ascii="宋体" w:hAnsi="宋体"/>
                <w:sz w:val="22"/>
              </w:rPr>
            </w:pPr>
            <w:r>
              <w:rPr>
                <w:rFonts w:hint="eastAsia" w:ascii="宋体" w:hAnsi="宋体"/>
                <w:sz w:val="22"/>
              </w:rPr>
              <w:t>年龄</w:t>
            </w:r>
          </w:p>
        </w:tc>
        <w:tc>
          <w:tcPr>
            <w:tcW w:w="1195" w:type="dxa"/>
            <w:tcBorders>
              <w:top w:val="single" w:color="auto" w:sz="4" w:space="0"/>
              <w:left w:val="single" w:color="auto" w:sz="4" w:space="0"/>
              <w:bottom w:val="single" w:color="auto" w:sz="4" w:space="0"/>
              <w:right w:val="single" w:color="auto" w:sz="4" w:space="0"/>
            </w:tcBorders>
            <w:noWrap w:val="0"/>
            <w:vAlign w:val="center"/>
          </w:tcPr>
          <w:p w14:paraId="7EDF56BD">
            <w:pPr>
              <w:jc w:val="center"/>
              <w:rPr>
                <w:rFonts w:hint="default" w:ascii="宋体" w:hAnsi="宋体" w:eastAsia="宋体"/>
                <w:sz w:val="22"/>
                <w:lang w:val="en-US" w:eastAsia="zh-CN"/>
              </w:rPr>
            </w:pPr>
          </w:p>
        </w:tc>
        <w:tc>
          <w:tcPr>
            <w:tcW w:w="1880" w:type="dxa"/>
            <w:vMerge w:val="restart"/>
            <w:tcBorders>
              <w:top w:val="single" w:color="auto" w:sz="4" w:space="0"/>
              <w:left w:val="single" w:color="auto" w:sz="4" w:space="0"/>
              <w:bottom w:val="single" w:color="auto" w:sz="4" w:space="0"/>
              <w:right w:val="single" w:color="auto" w:sz="4" w:space="0"/>
            </w:tcBorders>
            <w:noWrap w:val="0"/>
            <w:vAlign w:val="center"/>
          </w:tcPr>
          <w:p w14:paraId="3ED0D4F3">
            <w:pPr>
              <w:rPr>
                <w:rFonts w:hint="eastAsia" w:ascii="宋体" w:hAnsi="宋体" w:eastAsia="宋体"/>
                <w:sz w:val="22"/>
                <w:lang w:eastAsia="zh-CN"/>
              </w:rPr>
            </w:pPr>
          </w:p>
        </w:tc>
      </w:tr>
      <w:tr w14:paraId="088BF523">
        <w:trPr>
          <w:trHeight w:val="510" w:hRule="exact"/>
          <w:jc w:val="center"/>
        </w:trPr>
        <w:tc>
          <w:tcPr>
            <w:tcW w:w="1471" w:type="dxa"/>
            <w:tcBorders>
              <w:top w:val="single" w:color="auto" w:sz="4" w:space="0"/>
              <w:left w:val="single" w:color="auto" w:sz="4" w:space="0"/>
              <w:bottom w:val="single" w:color="auto" w:sz="4" w:space="0"/>
              <w:right w:val="single" w:color="auto" w:sz="4" w:space="0"/>
            </w:tcBorders>
            <w:noWrap w:val="0"/>
            <w:vAlign w:val="center"/>
          </w:tcPr>
          <w:p w14:paraId="75CD0DFC">
            <w:pPr>
              <w:jc w:val="center"/>
              <w:rPr>
                <w:rFonts w:ascii="宋体" w:hAnsi="宋体"/>
                <w:sz w:val="22"/>
              </w:rPr>
            </w:pPr>
            <w:r>
              <w:rPr>
                <w:rFonts w:hint="eastAsia" w:ascii="宋体" w:hAnsi="宋体"/>
                <w:sz w:val="22"/>
              </w:rPr>
              <w:t>政治面貌</w:t>
            </w:r>
          </w:p>
        </w:tc>
        <w:tc>
          <w:tcPr>
            <w:tcW w:w="2280" w:type="dxa"/>
            <w:tcBorders>
              <w:top w:val="single" w:color="auto" w:sz="4" w:space="0"/>
              <w:left w:val="single" w:color="auto" w:sz="4" w:space="0"/>
              <w:bottom w:val="single" w:color="auto" w:sz="4" w:space="0"/>
              <w:right w:val="single" w:color="auto" w:sz="4" w:space="0"/>
            </w:tcBorders>
            <w:noWrap w:val="0"/>
            <w:vAlign w:val="center"/>
          </w:tcPr>
          <w:p w14:paraId="741127A7">
            <w:pPr>
              <w:tabs>
                <w:tab w:val="center" w:pos="1092"/>
                <w:tab w:val="right" w:pos="2064"/>
              </w:tabs>
              <w:jc w:val="left"/>
              <w:rPr>
                <w:rFonts w:hint="default" w:ascii="宋体" w:hAnsi="宋体" w:eastAsia="宋体"/>
                <w:sz w:val="22"/>
                <w:lang w:val="en-US" w:eastAsia="zh-CN"/>
              </w:rPr>
            </w:pPr>
          </w:p>
        </w:tc>
        <w:tc>
          <w:tcPr>
            <w:tcW w:w="1341" w:type="dxa"/>
            <w:gridSpan w:val="2"/>
            <w:tcBorders>
              <w:top w:val="single" w:color="auto" w:sz="4" w:space="0"/>
              <w:left w:val="single" w:color="auto" w:sz="4" w:space="0"/>
              <w:bottom w:val="single" w:color="auto" w:sz="4" w:space="0"/>
              <w:right w:val="single" w:color="auto" w:sz="4" w:space="0"/>
            </w:tcBorders>
            <w:noWrap w:val="0"/>
            <w:vAlign w:val="center"/>
          </w:tcPr>
          <w:p w14:paraId="29569CD6">
            <w:pPr>
              <w:jc w:val="center"/>
              <w:rPr>
                <w:rFonts w:ascii="宋体" w:hAnsi="宋体"/>
                <w:sz w:val="22"/>
              </w:rPr>
            </w:pPr>
            <w:r>
              <w:rPr>
                <w:rFonts w:hint="eastAsia" w:ascii="宋体" w:hAnsi="宋体"/>
                <w:sz w:val="22"/>
              </w:rPr>
              <w:t>学    历</w:t>
            </w:r>
          </w:p>
        </w:tc>
        <w:tc>
          <w:tcPr>
            <w:tcW w:w="1972" w:type="dxa"/>
            <w:gridSpan w:val="2"/>
            <w:tcBorders>
              <w:top w:val="single" w:color="auto" w:sz="4" w:space="0"/>
              <w:left w:val="single" w:color="auto" w:sz="4" w:space="0"/>
              <w:bottom w:val="single" w:color="auto" w:sz="4" w:space="0"/>
              <w:right w:val="single" w:color="auto" w:sz="4" w:space="0"/>
            </w:tcBorders>
            <w:noWrap w:val="0"/>
            <w:vAlign w:val="center"/>
          </w:tcPr>
          <w:p w14:paraId="3FD34052">
            <w:pPr>
              <w:jc w:val="center"/>
              <w:rPr>
                <w:rFonts w:hint="eastAsia" w:ascii="宋体" w:hAnsi="宋体" w:eastAsia="宋体"/>
                <w:sz w:val="22"/>
                <w:lang w:val="en-US" w:eastAsia="zh-CN"/>
              </w:rPr>
            </w:pPr>
          </w:p>
        </w:tc>
        <w:tc>
          <w:tcPr>
            <w:tcW w:w="1880" w:type="dxa"/>
            <w:vMerge w:val="continue"/>
            <w:tcBorders>
              <w:top w:val="single" w:color="auto" w:sz="4" w:space="0"/>
              <w:left w:val="single" w:color="auto" w:sz="4" w:space="0"/>
              <w:bottom w:val="single" w:color="auto" w:sz="4" w:space="0"/>
              <w:right w:val="single" w:color="auto" w:sz="4" w:space="0"/>
            </w:tcBorders>
            <w:noWrap w:val="0"/>
            <w:vAlign w:val="center"/>
          </w:tcPr>
          <w:p w14:paraId="18218D91">
            <w:pPr>
              <w:widowControl/>
              <w:jc w:val="left"/>
              <w:rPr>
                <w:rFonts w:ascii="宋体" w:hAnsi="宋体"/>
                <w:sz w:val="22"/>
              </w:rPr>
            </w:pPr>
          </w:p>
        </w:tc>
      </w:tr>
      <w:tr w14:paraId="69D692AE">
        <w:trPr>
          <w:trHeight w:val="510" w:hRule="exact"/>
          <w:jc w:val="center"/>
        </w:trPr>
        <w:tc>
          <w:tcPr>
            <w:tcW w:w="1471" w:type="dxa"/>
            <w:tcBorders>
              <w:top w:val="single" w:color="auto" w:sz="4" w:space="0"/>
              <w:left w:val="single" w:color="auto" w:sz="4" w:space="0"/>
              <w:bottom w:val="single" w:color="auto" w:sz="4" w:space="0"/>
              <w:right w:val="single" w:color="auto" w:sz="4" w:space="0"/>
            </w:tcBorders>
            <w:noWrap w:val="0"/>
            <w:vAlign w:val="center"/>
          </w:tcPr>
          <w:p w14:paraId="4D81095C">
            <w:pPr>
              <w:jc w:val="center"/>
              <w:rPr>
                <w:rFonts w:ascii="宋体" w:hAnsi="宋体"/>
                <w:sz w:val="22"/>
              </w:rPr>
            </w:pPr>
            <w:r>
              <w:rPr>
                <w:rFonts w:hint="eastAsia" w:ascii="宋体" w:hAnsi="宋体"/>
                <w:sz w:val="22"/>
              </w:rPr>
              <w:t>所在单位</w:t>
            </w:r>
          </w:p>
        </w:tc>
        <w:tc>
          <w:tcPr>
            <w:tcW w:w="5593" w:type="dxa"/>
            <w:gridSpan w:val="5"/>
            <w:tcBorders>
              <w:top w:val="single" w:color="auto" w:sz="4" w:space="0"/>
              <w:left w:val="single" w:color="auto" w:sz="4" w:space="0"/>
              <w:bottom w:val="single" w:color="auto" w:sz="4" w:space="0"/>
              <w:right w:val="single" w:color="auto" w:sz="4" w:space="0"/>
            </w:tcBorders>
            <w:noWrap w:val="0"/>
            <w:vAlign w:val="center"/>
          </w:tcPr>
          <w:p w14:paraId="13B8D1EC">
            <w:pPr>
              <w:jc w:val="center"/>
              <w:rPr>
                <w:rFonts w:hint="default" w:ascii="宋体" w:hAnsi="宋体" w:eastAsia="宋体"/>
                <w:sz w:val="22"/>
                <w:lang w:val="en-US" w:eastAsia="zh-CN"/>
              </w:rPr>
            </w:pPr>
          </w:p>
        </w:tc>
        <w:tc>
          <w:tcPr>
            <w:tcW w:w="1880" w:type="dxa"/>
            <w:vMerge w:val="continue"/>
            <w:tcBorders>
              <w:top w:val="single" w:color="auto" w:sz="4" w:space="0"/>
              <w:left w:val="single" w:color="auto" w:sz="4" w:space="0"/>
              <w:bottom w:val="single" w:color="auto" w:sz="4" w:space="0"/>
              <w:right w:val="single" w:color="auto" w:sz="4" w:space="0"/>
            </w:tcBorders>
            <w:noWrap w:val="0"/>
            <w:vAlign w:val="center"/>
          </w:tcPr>
          <w:p w14:paraId="4DA05A9E">
            <w:pPr>
              <w:widowControl/>
              <w:jc w:val="left"/>
              <w:rPr>
                <w:rFonts w:ascii="宋体" w:hAnsi="宋体"/>
                <w:sz w:val="22"/>
              </w:rPr>
            </w:pPr>
          </w:p>
        </w:tc>
      </w:tr>
      <w:tr w14:paraId="31693B8A">
        <w:trPr>
          <w:trHeight w:val="700" w:hRule="exact"/>
          <w:jc w:val="center"/>
        </w:trPr>
        <w:tc>
          <w:tcPr>
            <w:tcW w:w="1471" w:type="dxa"/>
            <w:tcBorders>
              <w:top w:val="single" w:color="auto" w:sz="4" w:space="0"/>
              <w:left w:val="single" w:color="auto" w:sz="4" w:space="0"/>
              <w:bottom w:val="single" w:color="auto" w:sz="4" w:space="0"/>
              <w:right w:val="single" w:color="auto" w:sz="4" w:space="0"/>
            </w:tcBorders>
            <w:noWrap w:val="0"/>
            <w:vAlign w:val="center"/>
          </w:tcPr>
          <w:p w14:paraId="1CF38F4E">
            <w:pPr>
              <w:jc w:val="center"/>
              <w:rPr>
                <w:rFonts w:ascii="宋体" w:hAnsi="宋体"/>
                <w:sz w:val="22"/>
              </w:rPr>
            </w:pPr>
            <w:r>
              <w:rPr>
                <w:rFonts w:hint="eastAsia" w:ascii="宋体" w:hAnsi="宋体"/>
                <w:sz w:val="22"/>
              </w:rPr>
              <w:t>所在部门</w:t>
            </w:r>
          </w:p>
        </w:tc>
        <w:tc>
          <w:tcPr>
            <w:tcW w:w="2280" w:type="dxa"/>
            <w:tcBorders>
              <w:top w:val="single" w:color="auto" w:sz="4" w:space="0"/>
              <w:left w:val="single" w:color="auto" w:sz="4" w:space="0"/>
              <w:bottom w:val="single" w:color="auto" w:sz="4" w:space="0"/>
              <w:right w:val="single" w:color="auto" w:sz="4" w:space="0"/>
            </w:tcBorders>
            <w:noWrap w:val="0"/>
            <w:vAlign w:val="center"/>
          </w:tcPr>
          <w:p w14:paraId="2170E41D">
            <w:pPr>
              <w:jc w:val="center"/>
              <w:rPr>
                <w:rFonts w:ascii="宋体" w:hAnsi="宋体"/>
                <w:sz w:val="22"/>
              </w:rPr>
            </w:pPr>
          </w:p>
        </w:tc>
        <w:tc>
          <w:tcPr>
            <w:tcW w:w="1341" w:type="dxa"/>
            <w:gridSpan w:val="2"/>
            <w:tcBorders>
              <w:top w:val="single" w:color="auto" w:sz="4" w:space="0"/>
              <w:left w:val="single" w:color="auto" w:sz="4" w:space="0"/>
              <w:bottom w:val="single" w:color="auto" w:sz="4" w:space="0"/>
              <w:right w:val="single" w:color="auto" w:sz="4" w:space="0"/>
            </w:tcBorders>
            <w:noWrap w:val="0"/>
            <w:vAlign w:val="center"/>
          </w:tcPr>
          <w:p w14:paraId="4DFF5348">
            <w:pPr>
              <w:jc w:val="center"/>
              <w:rPr>
                <w:rFonts w:ascii="宋体" w:hAnsi="宋体"/>
                <w:sz w:val="22"/>
              </w:rPr>
            </w:pPr>
            <w:r>
              <w:rPr>
                <w:rFonts w:hint="eastAsia" w:ascii="宋体" w:hAnsi="宋体"/>
                <w:sz w:val="22"/>
              </w:rPr>
              <w:t>职    务</w:t>
            </w:r>
          </w:p>
        </w:tc>
        <w:tc>
          <w:tcPr>
            <w:tcW w:w="1972" w:type="dxa"/>
            <w:gridSpan w:val="2"/>
            <w:tcBorders>
              <w:top w:val="single" w:color="auto" w:sz="4" w:space="0"/>
              <w:left w:val="single" w:color="auto" w:sz="4" w:space="0"/>
              <w:bottom w:val="single" w:color="auto" w:sz="4" w:space="0"/>
              <w:right w:val="single" w:color="auto" w:sz="4" w:space="0"/>
            </w:tcBorders>
            <w:noWrap w:val="0"/>
            <w:vAlign w:val="center"/>
          </w:tcPr>
          <w:p w14:paraId="3DE132B4">
            <w:pPr>
              <w:ind w:firstLine="440" w:firstLineChars="200"/>
              <w:jc w:val="both"/>
              <w:rPr>
                <w:rFonts w:hint="default" w:ascii="宋体" w:hAnsi="宋体" w:eastAsia="宋体"/>
                <w:sz w:val="22"/>
                <w:lang w:val="en-US" w:eastAsia="zh-CN"/>
              </w:rPr>
            </w:pPr>
          </w:p>
          <w:p w14:paraId="71D1887D">
            <w:pPr>
              <w:jc w:val="both"/>
              <w:rPr>
                <w:rFonts w:hint="eastAsia" w:ascii="宋体" w:hAnsi="宋体" w:eastAsia="宋体"/>
                <w:sz w:val="22"/>
                <w:lang w:eastAsia="zh-CN"/>
              </w:rPr>
            </w:pPr>
          </w:p>
        </w:tc>
        <w:tc>
          <w:tcPr>
            <w:tcW w:w="1880" w:type="dxa"/>
            <w:vMerge w:val="continue"/>
            <w:tcBorders>
              <w:top w:val="single" w:color="auto" w:sz="4" w:space="0"/>
              <w:left w:val="single" w:color="auto" w:sz="4" w:space="0"/>
              <w:bottom w:val="single" w:color="auto" w:sz="4" w:space="0"/>
              <w:right w:val="single" w:color="auto" w:sz="4" w:space="0"/>
            </w:tcBorders>
            <w:noWrap w:val="0"/>
            <w:vAlign w:val="center"/>
          </w:tcPr>
          <w:p w14:paraId="55A7E23B">
            <w:pPr>
              <w:widowControl/>
              <w:jc w:val="left"/>
              <w:rPr>
                <w:rFonts w:ascii="宋体" w:hAnsi="宋体"/>
                <w:sz w:val="22"/>
              </w:rPr>
            </w:pPr>
          </w:p>
        </w:tc>
      </w:tr>
      <w:tr w14:paraId="448A2FE8">
        <w:trPr>
          <w:trHeight w:val="510" w:hRule="exact"/>
          <w:jc w:val="center"/>
        </w:trPr>
        <w:tc>
          <w:tcPr>
            <w:tcW w:w="1471" w:type="dxa"/>
            <w:tcBorders>
              <w:top w:val="single" w:color="auto" w:sz="4" w:space="0"/>
              <w:left w:val="single" w:color="auto" w:sz="4" w:space="0"/>
              <w:bottom w:val="single" w:color="auto" w:sz="4" w:space="0"/>
              <w:right w:val="single" w:color="auto" w:sz="4" w:space="0"/>
            </w:tcBorders>
            <w:noWrap w:val="0"/>
            <w:vAlign w:val="center"/>
          </w:tcPr>
          <w:p w14:paraId="1661095A">
            <w:pPr>
              <w:jc w:val="center"/>
              <w:rPr>
                <w:rFonts w:hint="eastAsia" w:ascii="宋体" w:hAnsi="宋体"/>
                <w:sz w:val="22"/>
              </w:rPr>
            </w:pPr>
            <w:r>
              <w:rPr>
                <w:rFonts w:hint="eastAsia" w:ascii="宋体" w:hAnsi="宋体"/>
                <w:sz w:val="22"/>
              </w:rPr>
              <w:t>籍贯</w:t>
            </w:r>
          </w:p>
        </w:tc>
        <w:tc>
          <w:tcPr>
            <w:tcW w:w="2280" w:type="dxa"/>
            <w:tcBorders>
              <w:top w:val="single" w:color="auto" w:sz="4" w:space="0"/>
              <w:left w:val="single" w:color="auto" w:sz="4" w:space="0"/>
              <w:bottom w:val="single" w:color="auto" w:sz="4" w:space="0"/>
              <w:right w:val="single" w:color="auto" w:sz="4" w:space="0"/>
            </w:tcBorders>
            <w:noWrap w:val="0"/>
            <w:vAlign w:val="center"/>
          </w:tcPr>
          <w:p w14:paraId="269B98FB">
            <w:pPr>
              <w:tabs>
                <w:tab w:val="center" w:pos="1092"/>
                <w:tab w:val="right" w:pos="2064"/>
              </w:tabs>
              <w:jc w:val="left"/>
              <w:rPr>
                <w:rFonts w:hint="eastAsia" w:ascii="宋体" w:hAnsi="宋体" w:eastAsia="宋体"/>
                <w:sz w:val="22"/>
                <w:lang w:eastAsia="zh-CN"/>
              </w:rPr>
            </w:pPr>
          </w:p>
        </w:tc>
        <w:tc>
          <w:tcPr>
            <w:tcW w:w="1341" w:type="dxa"/>
            <w:gridSpan w:val="2"/>
            <w:tcBorders>
              <w:top w:val="single" w:color="auto" w:sz="4" w:space="0"/>
              <w:left w:val="single" w:color="auto" w:sz="4" w:space="0"/>
              <w:bottom w:val="single" w:color="auto" w:sz="4" w:space="0"/>
              <w:right w:val="single" w:color="auto" w:sz="4" w:space="0"/>
            </w:tcBorders>
            <w:noWrap w:val="0"/>
            <w:vAlign w:val="center"/>
          </w:tcPr>
          <w:p w14:paraId="0AE24377">
            <w:pPr>
              <w:jc w:val="center"/>
              <w:rPr>
                <w:rFonts w:ascii="宋体" w:hAnsi="宋体"/>
                <w:sz w:val="22"/>
              </w:rPr>
            </w:pPr>
            <w:r>
              <w:rPr>
                <w:rFonts w:hint="eastAsia" w:ascii="宋体" w:hAnsi="宋体"/>
                <w:sz w:val="22"/>
              </w:rPr>
              <w:t>电话</w:t>
            </w:r>
          </w:p>
        </w:tc>
        <w:tc>
          <w:tcPr>
            <w:tcW w:w="1972" w:type="dxa"/>
            <w:gridSpan w:val="2"/>
            <w:tcBorders>
              <w:top w:val="single" w:color="auto" w:sz="4" w:space="0"/>
              <w:left w:val="single" w:color="auto" w:sz="4" w:space="0"/>
              <w:bottom w:val="single" w:color="auto" w:sz="4" w:space="0"/>
              <w:right w:val="single" w:color="auto" w:sz="4" w:space="0"/>
            </w:tcBorders>
            <w:noWrap w:val="0"/>
            <w:vAlign w:val="center"/>
          </w:tcPr>
          <w:p w14:paraId="27CE1BA1">
            <w:pPr>
              <w:tabs>
                <w:tab w:val="center" w:pos="878"/>
                <w:tab w:val="center" w:pos="938"/>
              </w:tabs>
              <w:jc w:val="left"/>
              <w:rPr>
                <w:rFonts w:hint="default" w:ascii="宋体" w:hAnsi="宋体" w:eastAsia="宋体"/>
                <w:sz w:val="22"/>
                <w:lang w:val="en-US" w:eastAsia="zh-CN"/>
              </w:rPr>
            </w:pPr>
          </w:p>
        </w:tc>
        <w:tc>
          <w:tcPr>
            <w:tcW w:w="1880" w:type="dxa"/>
            <w:vMerge w:val="continue"/>
            <w:tcBorders>
              <w:top w:val="single" w:color="auto" w:sz="4" w:space="0"/>
              <w:left w:val="single" w:color="auto" w:sz="4" w:space="0"/>
              <w:bottom w:val="single" w:color="auto" w:sz="4" w:space="0"/>
              <w:right w:val="single" w:color="auto" w:sz="4" w:space="0"/>
            </w:tcBorders>
            <w:noWrap w:val="0"/>
            <w:vAlign w:val="center"/>
          </w:tcPr>
          <w:p w14:paraId="758464AD">
            <w:pPr>
              <w:widowControl/>
              <w:jc w:val="left"/>
              <w:rPr>
                <w:rFonts w:ascii="宋体" w:hAnsi="宋体"/>
                <w:sz w:val="22"/>
              </w:rPr>
            </w:pPr>
          </w:p>
        </w:tc>
      </w:tr>
      <w:tr w14:paraId="78FC4011">
        <w:trPr>
          <w:trHeight w:val="510" w:hRule="exact"/>
          <w:jc w:val="center"/>
        </w:trPr>
        <w:tc>
          <w:tcPr>
            <w:tcW w:w="1471" w:type="dxa"/>
            <w:tcBorders>
              <w:top w:val="single" w:color="auto" w:sz="4" w:space="0"/>
              <w:left w:val="single" w:color="auto" w:sz="4" w:space="0"/>
              <w:bottom w:val="single" w:color="auto" w:sz="4" w:space="0"/>
              <w:right w:val="single" w:color="auto" w:sz="4" w:space="0"/>
            </w:tcBorders>
            <w:noWrap w:val="0"/>
            <w:vAlign w:val="center"/>
          </w:tcPr>
          <w:p w14:paraId="37685A59">
            <w:pPr>
              <w:jc w:val="center"/>
              <w:rPr>
                <w:rFonts w:ascii="宋体" w:hAnsi="宋体"/>
                <w:sz w:val="22"/>
              </w:rPr>
            </w:pPr>
            <w:r>
              <w:rPr>
                <w:rFonts w:hint="eastAsia" w:ascii="宋体" w:hAnsi="宋体"/>
                <w:sz w:val="22"/>
              </w:rPr>
              <w:t>QQ/微信</w:t>
            </w:r>
          </w:p>
        </w:tc>
        <w:tc>
          <w:tcPr>
            <w:tcW w:w="2280" w:type="dxa"/>
            <w:tcBorders>
              <w:top w:val="single" w:color="auto" w:sz="4" w:space="0"/>
              <w:left w:val="single" w:color="auto" w:sz="4" w:space="0"/>
              <w:bottom w:val="single" w:color="auto" w:sz="4" w:space="0"/>
              <w:right w:val="single" w:color="auto" w:sz="4" w:space="0"/>
            </w:tcBorders>
            <w:noWrap w:val="0"/>
            <w:vAlign w:val="center"/>
          </w:tcPr>
          <w:p w14:paraId="7A331FEB">
            <w:pPr>
              <w:jc w:val="center"/>
              <w:rPr>
                <w:rFonts w:ascii="宋体" w:hAnsi="宋体"/>
                <w:sz w:val="22"/>
              </w:rPr>
            </w:pPr>
          </w:p>
        </w:tc>
        <w:tc>
          <w:tcPr>
            <w:tcW w:w="1341" w:type="dxa"/>
            <w:gridSpan w:val="2"/>
            <w:tcBorders>
              <w:top w:val="single" w:color="auto" w:sz="4" w:space="0"/>
              <w:left w:val="single" w:color="auto" w:sz="4" w:space="0"/>
              <w:bottom w:val="single" w:color="auto" w:sz="4" w:space="0"/>
              <w:right w:val="single" w:color="auto" w:sz="4" w:space="0"/>
            </w:tcBorders>
            <w:noWrap w:val="0"/>
            <w:vAlign w:val="center"/>
          </w:tcPr>
          <w:p w14:paraId="558E347D">
            <w:pPr>
              <w:jc w:val="center"/>
              <w:rPr>
                <w:rFonts w:ascii="宋体" w:hAnsi="宋体"/>
                <w:sz w:val="22"/>
              </w:rPr>
            </w:pPr>
            <w:r>
              <w:rPr>
                <w:rFonts w:hint="eastAsia" w:ascii="宋体" w:hAnsi="宋体"/>
                <w:sz w:val="22"/>
              </w:rPr>
              <w:t>申请区域</w:t>
            </w:r>
          </w:p>
        </w:tc>
        <w:tc>
          <w:tcPr>
            <w:tcW w:w="3852" w:type="dxa"/>
            <w:gridSpan w:val="3"/>
            <w:tcBorders>
              <w:top w:val="single" w:color="auto" w:sz="4" w:space="0"/>
              <w:left w:val="single" w:color="auto" w:sz="4" w:space="0"/>
              <w:bottom w:val="single" w:color="auto" w:sz="4" w:space="0"/>
              <w:right w:val="single" w:color="auto" w:sz="4" w:space="0"/>
            </w:tcBorders>
            <w:noWrap w:val="0"/>
            <w:vAlign w:val="center"/>
          </w:tcPr>
          <w:p w14:paraId="64858FDA">
            <w:pPr>
              <w:jc w:val="center"/>
              <w:rPr>
                <w:rFonts w:ascii="宋体" w:hAnsi="宋体"/>
                <w:sz w:val="22"/>
              </w:rPr>
            </w:pPr>
          </w:p>
        </w:tc>
      </w:tr>
      <w:tr w14:paraId="32BA365D">
        <w:trPr>
          <w:trHeight w:val="510" w:hRule="exact"/>
          <w:jc w:val="center"/>
        </w:trPr>
        <w:tc>
          <w:tcPr>
            <w:tcW w:w="1471" w:type="dxa"/>
            <w:tcBorders>
              <w:top w:val="single" w:color="auto" w:sz="4" w:space="0"/>
              <w:left w:val="single" w:color="auto" w:sz="4" w:space="0"/>
              <w:bottom w:val="single" w:color="auto" w:sz="4" w:space="0"/>
              <w:right w:val="single" w:color="auto" w:sz="4" w:space="0"/>
            </w:tcBorders>
            <w:noWrap w:val="0"/>
            <w:vAlign w:val="center"/>
          </w:tcPr>
          <w:p w14:paraId="7B7ADB64">
            <w:pPr>
              <w:jc w:val="center"/>
              <w:rPr>
                <w:rFonts w:ascii="宋体" w:hAnsi="宋体"/>
                <w:sz w:val="22"/>
              </w:rPr>
            </w:pPr>
            <w:r>
              <w:rPr>
                <w:rFonts w:hint="eastAsia" w:ascii="宋体" w:hAnsi="宋体"/>
                <w:sz w:val="22"/>
              </w:rPr>
              <w:t>身份证号</w:t>
            </w:r>
          </w:p>
        </w:tc>
        <w:tc>
          <w:tcPr>
            <w:tcW w:w="7473" w:type="dxa"/>
            <w:gridSpan w:val="6"/>
            <w:tcBorders>
              <w:top w:val="single" w:color="auto" w:sz="4" w:space="0"/>
              <w:left w:val="single" w:color="auto" w:sz="4" w:space="0"/>
              <w:bottom w:val="single" w:color="auto" w:sz="4" w:space="0"/>
              <w:right w:val="single" w:color="auto" w:sz="4" w:space="0"/>
            </w:tcBorders>
            <w:noWrap w:val="0"/>
            <w:vAlign w:val="center"/>
          </w:tcPr>
          <w:p w14:paraId="7270AEE0">
            <w:pPr>
              <w:jc w:val="both"/>
              <w:rPr>
                <w:rFonts w:hint="default" w:ascii="宋体" w:hAnsi="宋体" w:eastAsia="宋体"/>
                <w:sz w:val="22"/>
                <w:lang w:val="en-US" w:eastAsia="zh-CN"/>
              </w:rPr>
            </w:pPr>
          </w:p>
        </w:tc>
      </w:tr>
      <w:tr w14:paraId="61112877">
        <w:trPr>
          <w:trHeight w:val="3212" w:hRule="atLeast"/>
          <w:jc w:val="center"/>
        </w:trPr>
        <w:tc>
          <w:tcPr>
            <w:tcW w:w="1471" w:type="dxa"/>
            <w:tcBorders>
              <w:top w:val="single" w:color="auto" w:sz="4" w:space="0"/>
              <w:left w:val="single" w:color="auto" w:sz="4" w:space="0"/>
              <w:bottom w:val="single" w:color="auto" w:sz="4" w:space="0"/>
              <w:right w:val="single" w:color="auto" w:sz="4" w:space="0"/>
            </w:tcBorders>
            <w:noWrap w:val="0"/>
            <w:vAlign w:val="center"/>
          </w:tcPr>
          <w:p w14:paraId="5C400355">
            <w:pPr>
              <w:jc w:val="center"/>
              <w:rPr>
                <w:rFonts w:ascii="宋体" w:hAnsi="宋体"/>
                <w:sz w:val="22"/>
              </w:rPr>
            </w:pPr>
            <w:r>
              <w:rPr>
                <w:rFonts w:hint="eastAsia" w:ascii="宋体" w:hAnsi="宋体"/>
                <w:sz w:val="22"/>
              </w:rPr>
              <w:t>申请人须知</w:t>
            </w:r>
          </w:p>
        </w:tc>
        <w:tc>
          <w:tcPr>
            <w:tcW w:w="7473" w:type="dxa"/>
            <w:gridSpan w:val="6"/>
            <w:tcBorders>
              <w:top w:val="single" w:color="auto" w:sz="4" w:space="0"/>
              <w:left w:val="single" w:color="auto" w:sz="4" w:space="0"/>
              <w:bottom w:val="single" w:color="auto" w:sz="4" w:space="0"/>
              <w:right w:val="single" w:color="auto" w:sz="4" w:space="0"/>
            </w:tcBorders>
            <w:noWrap w:val="0"/>
            <w:vAlign w:val="center"/>
          </w:tcPr>
          <w:p w14:paraId="4E5A3367">
            <w:pPr>
              <w:rPr>
                <w:rFonts w:hint="eastAsia" w:ascii="仿宋" w:hAnsi="仿宋" w:eastAsia="仿宋" w:cs="仿宋"/>
              </w:rPr>
            </w:pPr>
            <w:r>
              <w:rPr>
                <w:rFonts w:hint="eastAsia" w:ascii="仿宋" w:hAnsi="仿宋" w:eastAsia="仿宋" w:cs="仿宋"/>
              </w:rPr>
              <w:t>1. 政治素养</w:t>
            </w:r>
          </w:p>
          <w:p w14:paraId="57264096">
            <w:pPr>
              <w:rPr>
                <w:rFonts w:hint="eastAsia" w:ascii="仿宋" w:hAnsi="仿宋" w:eastAsia="仿宋" w:cs="仿宋"/>
              </w:rPr>
            </w:pPr>
            <w:r>
              <w:rPr>
                <w:rFonts w:hint="eastAsia" w:ascii="仿宋" w:hAnsi="仿宋" w:eastAsia="仿宋" w:cs="仿宋"/>
              </w:rPr>
              <w:t xml:space="preserve">   拥护党的路线、方针、政策，遵守国家法律法规，政治立场坚定，作风正派，无违法违规记录。</w:t>
            </w:r>
          </w:p>
          <w:p w14:paraId="7A93B409">
            <w:pPr>
              <w:rPr>
                <w:rFonts w:hint="eastAsia" w:ascii="仿宋" w:hAnsi="仿宋" w:eastAsia="仿宋" w:cs="仿宋"/>
              </w:rPr>
            </w:pPr>
            <w:r>
              <w:rPr>
                <w:rFonts w:hint="eastAsia" w:ascii="仿宋" w:hAnsi="仿宋" w:eastAsia="仿宋" w:cs="仿宋"/>
              </w:rPr>
              <w:t>2. 专业能力</w:t>
            </w:r>
          </w:p>
          <w:p w14:paraId="1816F67B">
            <w:pPr>
              <w:rPr>
                <w:rFonts w:hint="eastAsia" w:ascii="仿宋" w:hAnsi="仿宋" w:eastAsia="仿宋" w:cs="仿宋"/>
              </w:rPr>
            </w:pPr>
            <w:r>
              <w:rPr>
                <w:rFonts w:hint="eastAsia" w:ascii="仿宋" w:hAnsi="仿宋" w:eastAsia="仿宋" w:cs="仿宋"/>
              </w:rPr>
              <w:t xml:space="preserve">   具备较高的科学文化知识和政策理论水平。</w:t>
            </w:r>
          </w:p>
          <w:p w14:paraId="6C553AAA">
            <w:pPr>
              <w:rPr>
                <w:rFonts w:hint="eastAsia" w:ascii="仿宋" w:hAnsi="仿宋" w:eastAsia="仿宋" w:cs="仿宋"/>
              </w:rPr>
            </w:pPr>
            <w:r>
              <w:rPr>
                <w:rFonts w:hint="eastAsia" w:ascii="仿宋" w:hAnsi="仿宋" w:eastAsia="仿宋" w:cs="仿宋"/>
              </w:rPr>
              <w:t xml:space="preserve">   · 优先考虑：从事法学教学研究、法律实务工作（法官、检察官、律师、行政执法人员）、媒体法律评论员或具有法律专业背景的自媒体从业者。</w:t>
            </w:r>
          </w:p>
          <w:p w14:paraId="04474509">
            <w:pPr>
              <w:rPr>
                <w:rFonts w:hint="eastAsia" w:ascii="仿宋" w:hAnsi="仿宋" w:eastAsia="仿宋" w:cs="仿宋"/>
              </w:rPr>
            </w:pPr>
            <w:r>
              <w:rPr>
                <w:rFonts w:hint="eastAsia" w:ascii="仿宋" w:hAnsi="仿宋" w:eastAsia="仿宋" w:cs="仿宋"/>
              </w:rPr>
              <w:t xml:space="preserve">   · 具备敏锐的法治舆情观察力和较强的文字表达能力，能够独立撰写深度评论文章</w:t>
            </w:r>
            <w:r>
              <w:rPr>
                <w:rFonts w:hint="eastAsia" w:ascii="仿宋" w:hAnsi="仿宋" w:eastAsia="仿宋" w:cs="仿宋"/>
                <w:lang w:eastAsia="zh-CN"/>
              </w:rPr>
              <w:t>的</w:t>
            </w:r>
            <w:r>
              <w:rPr>
                <w:rFonts w:hint="eastAsia" w:ascii="仿宋" w:hAnsi="仿宋" w:eastAsia="仿宋" w:cs="仿宋"/>
                <w:lang w:val="en-US" w:eastAsia="zh-CN"/>
              </w:rPr>
              <w:t>各商会、协会的负责人</w:t>
            </w:r>
            <w:r>
              <w:rPr>
                <w:rFonts w:hint="eastAsia" w:ascii="仿宋" w:hAnsi="仿宋" w:eastAsia="仿宋" w:cs="仿宋"/>
              </w:rPr>
              <w:t>。</w:t>
            </w:r>
          </w:p>
          <w:p w14:paraId="7ED23F0D">
            <w:pPr>
              <w:rPr>
                <w:rFonts w:hint="eastAsia" w:ascii="仿宋" w:hAnsi="仿宋" w:eastAsia="仿宋" w:cs="仿宋"/>
              </w:rPr>
            </w:pPr>
            <w:r>
              <w:rPr>
                <w:rFonts w:hint="eastAsia" w:ascii="仿宋" w:hAnsi="仿宋" w:eastAsia="仿宋" w:cs="仿宋"/>
              </w:rPr>
              <w:t>3. 社会责任</w:t>
            </w:r>
          </w:p>
          <w:p w14:paraId="0321D922">
            <w:pPr>
              <w:rPr>
                <w:rFonts w:hint="eastAsia" w:ascii="仿宋" w:hAnsi="仿宋" w:eastAsia="仿宋" w:cs="仿宋"/>
              </w:rPr>
            </w:pPr>
            <w:r>
              <w:rPr>
                <w:rFonts w:hint="eastAsia" w:ascii="仿宋" w:hAnsi="仿宋" w:eastAsia="仿宋" w:cs="仿宋"/>
              </w:rPr>
              <w:t xml:space="preserve">   热心公益普法事业，善于联系群众，在所在行业或群体中有一定代表性和影响力，能够真实反映社情民意。</w:t>
            </w:r>
          </w:p>
          <w:p w14:paraId="08E88BCC">
            <w:pPr>
              <w:rPr>
                <w:rFonts w:hint="eastAsia" w:ascii="仿宋" w:hAnsi="仿宋" w:eastAsia="仿宋" w:cs="仿宋"/>
              </w:rPr>
            </w:pPr>
            <w:r>
              <w:rPr>
                <w:rFonts w:hint="eastAsia" w:ascii="仿宋" w:hAnsi="仿宋" w:eastAsia="仿宋" w:cs="仿宋"/>
              </w:rPr>
              <w:t>4. 身体条件</w:t>
            </w:r>
          </w:p>
          <w:p w14:paraId="18CEFEAE">
            <w:pPr>
              <w:rPr>
                <w:rFonts w:hint="eastAsia" w:ascii="仿宋" w:hAnsi="仿宋" w:eastAsia="仿宋" w:cs="仿宋"/>
              </w:rPr>
            </w:pPr>
            <w:r>
              <w:rPr>
                <w:rFonts w:hint="eastAsia" w:ascii="仿宋" w:hAnsi="仿宋" w:eastAsia="仿宋" w:cs="仿宋"/>
              </w:rPr>
              <w:t xml:space="preserve">   年龄原则上不超过60周岁，身体健康，能胜任评论员工作，有充裕的时间参与栏目组的活动及撰稿任务。</w:t>
            </w:r>
          </w:p>
          <w:p w14:paraId="549C11A9">
            <w:pPr>
              <w:numPr>
                <w:ilvl w:val="0"/>
                <w:numId w:val="0"/>
              </w:numPr>
              <w:ind w:leftChars="0"/>
              <w:rPr>
                <w:rFonts w:ascii="宋体" w:hAnsi="宋体"/>
                <w:sz w:val="22"/>
              </w:rPr>
            </w:pPr>
          </w:p>
        </w:tc>
      </w:tr>
      <w:tr w14:paraId="2F321FAD">
        <w:trPr>
          <w:trHeight w:val="2272" w:hRule="atLeast"/>
          <w:jc w:val="center"/>
        </w:trPr>
        <w:tc>
          <w:tcPr>
            <w:tcW w:w="1471" w:type="dxa"/>
            <w:tcBorders>
              <w:top w:val="single" w:color="auto" w:sz="4" w:space="0"/>
              <w:left w:val="single" w:color="auto" w:sz="4" w:space="0"/>
              <w:bottom w:val="single" w:color="auto" w:sz="4" w:space="0"/>
              <w:right w:val="single" w:color="auto" w:sz="4" w:space="0"/>
            </w:tcBorders>
            <w:noWrap w:val="0"/>
            <w:vAlign w:val="center"/>
          </w:tcPr>
          <w:p w14:paraId="41D9D6D6">
            <w:pPr>
              <w:jc w:val="center"/>
              <w:rPr>
                <w:rFonts w:ascii="宋体" w:hAnsi="宋体"/>
                <w:sz w:val="22"/>
              </w:rPr>
            </w:pPr>
            <w:r>
              <w:rPr>
                <w:rFonts w:hint="eastAsia" w:ascii="宋体" w:hAnsi="宋体"/>
                <w:sz w:val="22"/>
              </w:rPr>
              <w:t>个人简历</w:t>
            </w:r>
          </w:p>
        </w:tc>
        <w:tc>
          <w:tcPr>
            <w:tcW w:w="7473" w:type="dxa"/>
            <w:gridSpan w:val="6"/>
            <w:tcBorders>
              <w:top w:val="single" w:color="auto" w:sz="4" w:space="0"/>
              <w:left w:val="single" w:color="auto" w:sz="4" w:space="0"/>
              <w:bottom w:val="single" w:color="auto" w:sz="4" w:space="0"/>
              <w:right w:val="single" w:color="auto" w:sz="4" w:space="0"/>
            </w:tcBorders>
            <w:noWrap w:val="0"/>
            <w:vAlign w:val="top"/>
          </w:tcPr>
          <w:p w14:paraId="7E8EF5EE">
            <w:pPr>
              <w:rPr>
                <w:rFonts w:ascii="宋体" w:hAnsi="宋体"/>
                <w:sz w:val="22"/>
              </w:rPr>
            </w:pPr>
          </w:p>
          <w:p w14:paraId="021777BE">
            <w:pPr>
              <w:rPr>
                <w:rFonts w:hint="eastAsia" w:ascii="宋体" w:hAnsi="宋体"/>
                <w:sz w:val="22"/>
              </w:rPr>
            </w:pPr>
          </w:p>
          <w:p w14:paraId="7D5088C8">
            <w:pPr>
              <w:numPr>
                <w:ilvl w:val="0"/>
                <w:numId w:val="0"/>
              </w:numPr>
              <w:rPr>
                <w:rFonts w:hint="default" w:ascii="宋体" w:hAnsi="宋体"/>
                <w:sz w:val="22"/>
                <w:lang w:val="en-US" w:eastAsia="zh-CN"/>
              </w:rPr>
            </w:pPr>
          </w:p>
        </w:tc>
      </w:tr>
      <w:tr w14:paraId="7030EA1E">
        <w:trPr>
          <w:trHeight w:val="988" w:hRule="atLeast"/>
          <w:jc w:val="center"/>
        </w:trPr>
        <w:tc>
          <w:tcPr>
            <w:tcW w:w="1471" w:type="dxa"/>
            <w:tcBorders>
              <w:top w:val="single" w:color="auto" w:sz="4" w:space="0"/>
              <w:left w:val="single" w:color="auto" w:sz="4" w:space="0"/>
              <w:bottom w:val="single" w:color="auto" w:sz="4" w:space="0"/>
              <w:right w:val="single" w:color="auto" w:sz="4" w:space="0"/>
            </w:tcBorders>
            <w:noWrap w:val="0"/>
            <w:vAlign w:val="center"/>
          </w:tcPr>
          <w:p w14:paraId="0FC699B5">
            <w:pPr>
              <w:jc w:val="center"/>
              <w:rPr>
                <w:rFonts w:ascii="宋体" w:hAnsi="宋体"/>
                <w:sz w:val="22"/>
              </w:rPr>
            </w:pPr>
            <w:r>
              <w:rPr>
                <w:rFonts w:hint="eastAsia" w:ascii="宋体" w:hAnsi="宋体"/>
                <w:sz w:val="22"/>
                <w:lang w:eastAsia="zh-CN"/>
              </w:rPr>
              <w:t>《</w:t>
            </w:r>
            <w:r>
              <w:rPr>
                <w:rFonts w:hint="eastAsia" w:ascii="宋体" w:hAnsi="宋体"/>
                <w:sz w:val="22"/>
              </w:rPr>
              <w:t>法治观察</w:t>
            </w:r>
            <w:r>
              <w:rPr>
                <w:rFonts w:hint="eastAsia" w:ascii="宋体" w:hAnsi="宋体"/>
                <w:sz w:val="22"/>
                <w:lang w:eastAsia="zh-CN"/>
              </w:rPr>
              <w:t>》</w:t>
            </w:r>
            <w:r>
              <w:rPr>
                <w:rFonts w:hint="eastAsia" w:ascii="宋体" w:hAnsi="宋体"/>
                <w:sz w:val="22"/>
              </w:rPr>
              <w:t>栏目意见</w:t>
            </w:r>
          </w:p>
        </w:tc>
        <w:tc>
          <w:tcPr>
            <w:tcW w:w="7473" w:type="dxa"/>
            <w:gridSpan w:val="6"/>
            <w:tcBorders>
              <w:top w:val="single" w:color="auto" w:sz="4" w:space="0"/>
              <w:left w:val="single" w:color="auto" w:sz="4" w:space="0"/>
              <w:bottom w:val="single" w:color="auto" w:sz="4" w:space="0"/>
              <w:right w:val="single" w:color="auto" w:sz="4" w:space="0"/>
            </w:tcBorders>
            <w:noWrap w:val="0"/>
            <w:vAlign w:val="top"/>
          </w:tcPr>
          <w:p w14:paraId="6ED596B6">
            <w:pPr>
              <w:rPr>
                <w:rFonts w:ascii="宋体" w:hAnsi="宋体"/>
                <w:sz w:val="22"/>
              </w:rPr>
            </w:pPr>
          </w:p>
          <w:p w14:paraId="469D78D7">
            <w:pPr>
              <w:rPr>
                <w:rFonts w:ascii="宋体" w:hAnsi="宋体"/>
                <w:sz w:val="22"/>
              </w:rPr>
            </w:pPr>
          </w:p>
        </w:tc>
      </w:tr>
    </w:tbl>
    <w:p w14:paraId="798CD42E">
      <w:pPr>
        <w:pStyle w:val="3"/>
        <w:spacing w:before="0" w:beforeAutospacing="0" w:after="0" w:afterAutospacing="0" w:line="360" w:lineRule="atLeast"/>
        <w:rPr>
          <w:b/>
        </w:rPr>
      </w:pPr>
      <w:r>
        <w:rPr>
          <w:rFonts w:hint="eastAsia"/>
          <w:b/>
        </w:rPr>
        <w:t>地  址：</w:t>
      </w:r>
      <w:r>
        <w:rPr>
          <w:rFonts w:hint="eastAsia"/>
          <w:sz w:val="21"/>
          <w:szCs w:val="21"/>
        </w:rPr>
        <w:t>北京市海淀区复兴路乙11号，中央广播电视总台梅地亚新闻中心11楼</w:t>
      </w:r>
    </w:p>
    <w:p w14:paraId="1D806DAA"/>
    <w:p w14:paraId="61E0915F">
      <w:pPr>
        <w:rPr>
          <w:rFonts w:hint="eastAsia" w:ascii="仿宋" w:hAnsi="仿宋" w:eastAsia="仿宋" w:cs="仿宋"/>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panose1 w:val="02010609060101010101"/>
    <w:charset w:val="86"/>
    <w:family w:val="auto"/>
    <w:pitch w:val="default"/>
    <w:sig w:usb0="800002BF" w:usb1="38CF7CFA"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panose1 w:val="020F0702030404030204"/>
    <w:charset w:val="00"/>
    <w:family w:val="swiss"/>
    <w:pitch w:val="default"/>
    <w:sig w:usb0="E10002FF" w:usb1="4000ACFF" w:usb2="00000009" w:usb3="00000000" w:csb0="2000019F" w:csb1="00000000"/>
  </w:font>
  <w:font w:name="仿宋">
    <w:panose1 w:val="02010609060101010101"/>
    <w:charset w:val="86"/>
    <w:family w:val="auto"/>
    <w:pitch w:val="default"/>
    <w:sig w:usb0="800002BF" w:usb1="38CF7CFA" w:usb2="00000016" w:usb3="00000000" w:csb0="00040001" w:csb1="00000000"/>
  </w:font>
  <w:font w:name="Kingsoft Sign">
    <w:panose1 w:val="05050102010706020507"/>
    <w:charset w:val="00"/>
    <w:family w:val="auto"/>
    <w:pitch w:val="default"/>
    <w:sig w:usb0="00000000" w:usb1="10000000" w:usb2="00000000" w:usb3="00000000" w:csb0="00000001" w:csb1="00000000"/>
  </w:font>
  <w:font w:name="微软雅黑">
    <w:panose1 w:val="020B0503020204020204"/>
    <w:charset w:val="86"/>
    <w:family w:val="swiss"/>
    <w:pitch w:val="default"/>
    <w:sig w:usb0="80000287" w:usb1="280F3C52" w:usb2="00000016" w:usb3="00000000" w:csb0="0004001F" w:csb1="00000000"/>
  </w:font>
  <w:font w:name="方正大黑简体">
    <w:altName w:val="黑体"/>
    <w:panose1 w:val="03000509000000000000"/>
    <w:charset w:val="00"/>
    <w:family w:val="script"/>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0477744"/>
    <w:rsid w:val="71606557"/>
    <w:rsid w:val="9FD2C2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header"/>
    <w:basedOn w:val="1"/>
    <w:unhideWhenUsed/>
    <w:uiPriority w:val="99"/>
    <w:pPr>
      <w:pBdr>
        <w:bottom w:val="single" w:color="auto" w:sz="6" w:space="1"/>
      </w:pBdr>
      <w:tabs>
        <w:tab w:val="center" w:pos="4153"/>
        <w:tab w:val="right" w:pos="8306"/>
      </w:tabs>
      <w:snapToGrid w:val="0"/>
      <w:jc w:val="center"/>
    </w:pPr>
    <w:rPr>
      <w:sz w:val="18"/>
      <w:szCs w:val="18"/>
    </w:rPr>
  </w:style>
  <w:style w:type="paragraph" w:styleId="3">
    <w:name w:val="Normal (Web)"/>
    <w:basedOn w:val="1"/>
    <w:unhideWhenUsed/>
    <w:uiPriority w:val="99"/>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Office_12.1.24709.24709_F1E327BC-269C-435d-A152-05C5408002CA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2026-03-10T13:31:00Z</dcterms:created>
  <dc:creator>Administrator</dc:creator>
  <cp:lastModifiedBy>WPS_1580902805</cp:lastModifiedBy>
  <dcterms:modified xsi:type="dcterms:W3CDTF">2026-03-10T13:52:36Z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2052-12.1.24709.24709</vt:lpwstr>
  </property>
  <property fmtid="{D5CDD505-2E9C-101B-9397-08002B2CF9AE}" pid="3" name="ICV">
    <vt:lpwstr>E27A63620E5FBBC3A4B1AF69BBDDADD0_43</vt:lpwstr>
  </property>
</Properties>
</file>